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C4" w:rsidRPr="006133F3" w:rsidRDefault="001444C4" w:rsidP="001444C4">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jc w:val="right"/>
        <w:rPr>
          <w:rFonts w:eastAsia="Times New Roman"/>
          <w:sz w:val="20"/>
          <w:szCs w:val="20"/>
          <w:lang w:eastAsia="ro-RO"/>
        </w:rPr>
      </w:pPr>
      <w:r w:rsidRPr="006133F3">
        <w:rPr>
          <w:rFonts w:eastAsia="Times New Roman"/>
          <w:sz w:val="20"/>
          <w:szCs w:val="20"/>
          <w:lang w:eastAsia="ro-RO"/>
        </w:rPr>
        <w:t>It applies to:</w:t>
      </w:r>
    </w:p>
    <w:p w:rsidR="003E361F" w:rsidRPr="006133F3" w:rsidRDefault="003E361F" w:rsidP="003E361F">
      <w:pPr>
        <w:suppressAutoHyphens w:val="0"/>
        <w:spacing w:after="0" w:line="240" w:lineRule="auto"/>
        <w:jc w:val="right"/>
        <w:rPr>
          <w:rFonts w:eastAsia="Times New Roman" w:cs="Arial"/>
          <w:b/>
          <w:sz w:val="20"/>
          <w:szCs w:val="20"/>
          <w:lang w:eastAsia="ro-RO"/>
        </w:rPr>
      </w:pPr>
      <w:r w:rsidRPr="006133F3">
        <w:rPr>
          <w:rFonts w:eastAsia="Times New Roman" w:cs="Arial"/>
          <w:sz w:val="20"/>
          <w:szCs w:val="20"/>
          <w:lang w:eastAsia="ro-RO"/>
        </w:rPr>
        <w:t xml:space="preserve">“Petru Maior” Faculty of Sciences and Letters - Field of </w:t>
      </w:r>
      <w:r w:rsidRPr="006133F3">
        <w:rPr>
          <w:rFonts w:eastAsia="Times New Roman" w:cs="Arial"/>
          <w:b/>
          <w:sz w:val="20"/>
          <w:szCs w:val="20"/>
          <w:lang w:eastAsia="ro-RO"/>
        </w:rPr>
        <w:t>Psychology, Education Sciences, Physical education and Sport</w:t>
      </w:r>
    </w:p>
    <w:p w:rsidR="003E361F" w:rsidRPr="006133F3" w:rsidRDefault="003E361F" w:rsidP="003E361F">
      <w:pPr>
        <w:suppressAutoHyphens w:val="0"/>
        <w:spacing w:after="0" w:line="240" w:lineRule="auto"/>
        <w:rPr>
          <w:rFonts w:eastAsia="Times New Roman" w:cs="Arial"/>
          <w:sz w:val="20"/>
          <w:szCs w:val="20"/>
          <w:lang w:eastAsia="ro-RO"/>
        </w:rPr>
      </w:pPr>
    </w:p>
    <w:p w:rsidR="003E361F" w:rsidRPr="006133F3" w:rsidRDefault="003E361F" w:rsidP="003E361F">
      <w:pPr>
        <w:suppressAutoHyphens w:val="0"/>
        <w:spacing w:after="0" w:line="240" w:lineRule="auto"/>
        <w:jc w:val="center"/>
        <w:rPr>
          <w:rFonts w:eastAsia="Times New Roman"/>
          <w:b/>
          <w:sz w:val="20"/>
          <w:szCs w:val="20"/>
          <w:lang w:eastAsia="ro-RO"/>
        </w:rPr>
      </w:pPr>
    </w:p>
    <w:p w:rsidR="003E361F" w:rsidRPr="006133F3" w:rsidRDefault="003E361F" w:rsidP="003E361F">
      <w:pPr>
        <w:suppressAutoHyphens w:val="0"/>
        <w:spacing w:after="0" w:line="240" w:lineRule="auto"/>
        <w:jc w:val="center"/>
        <w:rPr>
          <w:rFonts w:eastAsia="Times New Roman"/>
          <w:b/>
          <w:sz w:val="20"/>
          <w:szCs w:val="20"/>
          <w:lang w:eastAsia="ro-RO"/>
        </w:rPr>
      </w:pPr>
      <w:r w:rsidRPr="006133F3">
        <w:rPr>
          <w:rFonts w:eastAsia="Times New Roman"/>
          <w:b/>
          <w:sz w:val="20"/>
          <w:szCs w:val="20"/>
          <w:lang w:eastAsia="ro-RO"/>
        </w:rPr>
        <w:t>EVALUATION FORM</w:t>
      </w:r>
    </w:p>
    <w:p w:rsidR="003E361F" w:rsidRPr="006133F3" w:rsidRDefault="003E361F" w:rsidP="003E361F">
      <w:pPr>
        <w:suppressAutoHyphens w:val="0"/>
        <w:spacing w:after="0" w:line="240" w:lineRule="auto"/>
        <w:jc w:val="center"/>
        <w:rPr>
          <w:rFonts w:eastAsia="Times New Roman"/>
          <w:b/>
          <w:sz w:val="20"/>
          <w:szCs w:val="20"/>
          <w:lang w:eastAsia="ro-RO"/>
        </w:rPr>
      </w:pPr>
      <w:r w:rsidRPr="006133F3">
        <w:rPr>
          <w:rFonts w:eastAsia="Times New Roman"/>
          <w:b/>
          <w:sz w:val="20"/>
          <w:szCs w:val="20"/>
          <w:lang w:eastAsia="ro-RO"/>
        </w:rPr>
        <w:t xml:space="preserve">for filling teaching and research positions </w:t>
      </w: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rPr>
          <w:rFonts w:eastAsia="Times New Roman"/>
          <w:b/>
          <w:sz w:val="20"/>
          <w:szCs w:val="20"/>
          <w:lang w:eastAsia="ro-RO"/>
        </w:rPr>
      </w:pPr>
      <w:r w:rsidRPr="006133F3">
        <w:rPr>
          <w:rFonts w:eastAsia="Times New Roman"/>
          <w:b/>
          <w:sz w:val="20"/>
          <w:szCs w:val="20"/>
          <w:lang w:eastAsia="ro-RO"/>
        </w:rPr>
        <w:t>INFORMATION ABOUT THE CANDIDATE</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SURNAME________________________________GIVEN NAME(S) ___________________________________ Personal ID number______________________________ </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Position applied for______________________________ Department___________________________________________Discipline________________________________________</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Position ______________ Faculty ___________________________________________________</w:t>
      </w: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numPr>
          <w:ilvl w:val="0"/>
          <w:numId w:val="11"/>
        </w:numPr>
        <w:suppressAutoHyphens w:val="0"/>
        <w:spacing w:after="0" w:line="240" w:lineRule="auto"/>
        <w:ind w:left="709"/>
        <w:rPr>
          <w:rFonts w:eastAsia="Times New Roman" w:cs="Arial"/>
          <w:b/>
          <w:sz w:val="20"/>
          <w:szCs w:val="20"/>
          <w:lang w:eastAsia="ro-RO"/>
        </w:rPr>
      </w:pPr>
      <w:r w:rsidRPr="006133F3">
        <w:rPr>
          <w:rFonts w:eastAsia="Times New Roman" w:cs="Arial"/>
          <w:b/>
          <w:sz w:val="20"/>
          <w:szCs w:val="20"/>
          <w:lang w:eastAsia="ro-RO"/>
        </w:rPr>
        <w:t xml:space="preserve">EVALUATION OF SCIENTIFIC ACTIVITY AND TEACHING COMPETENCES – THE FIELDS OF PSYCHOLOGY, </w:t>
      </w:r>
    </w:p>
    <w:p w:rsidR="003E361F" w:rsidRPr="006133F3" w:rsidRDefault="003E361F" w:rsidP="003E361F">
      <w:pPr>
        <w:numPr>
          <w:ilvl w:val="0"/>
          <w:numId w:val="11"/>
        </w:numPr>
        <w:suppressAutoHyphens w:val="0"/>
        <w:spacing w:after="0" w:line="240" w:lineRule="auto"/>
        <w:ind w:left="709"/>
        <w:rPr>
          <w:rFonts w:eastAsia="Times New Roman" w:cs="Arial"/>
          <w:b/>
          <w:sz w:val="20"/>
          <w:szCs w:val="20"/>
          <w:lang w:eastAsia="ro-RO"/>
        </w:rPr>
      </w:pPr>
      <w:r w:rsidRPr="006133F3">
        <w:rPr>
          <w:rFonts w:eastAsia="Times New Roman" w:cs="Arial"/>
          <w:b/>
          <w:sz w:val="20"/>
          <w:szCs w:val="20"/>
          <w:lang w:eastAsia="ro-RO"/>
        </w:rPr>
        <w:t>EDUCATION SCIENCES, PHYSICAL EDUCATION AND SPORTS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p>
        </w:tc>
        <w:tc>
          <w:tcPr>
            <w:tcW w:w="2552" w:type="dxa"/>
          </w:tcPr>
          <w:p w:rsidR="003E361F" w:rsidRPr="006133F3" w:rsidRDefault="003E361F" w:rsidP="003E361F">
            <w:pPr>
              <w:suppressAutoHyphens w:val="0"/>
              <w:spacing w:after="0" w:line="240" w:lineRule="auto"/>
              <w:jc w:val="center"/>
              <w:rPr>
                <w:rFonts w:eastAsia="Times New Roman"/>
                <w:b/>
                <w:sz w:val="20"/>
                <w:szCs w:val="20"/>
                <w:lang w:eastAsia="ro-RO"/>
              </w:rPr>
            </w:pPr>
            <w:r w:rsidRPr="006133F3">
              <w:rPr>
                <w:rFonts w:eastAsia="Times New Roman"/>
                <w:b/>
                <w:sz w:val="20"/>
                <w:szCs w:val="20"/>
                <w:lang w:eastAsia="ro-RO"/>
              </w:rPr>
              <w:t>Score attributed to each unit</w:t>
            </w:r>
          </w:p>
        </w:tc>
        <w:tc>
          <w:tcPr>
            <w:tcW w:w="1984" w:type="dxa"/>
          </w:tcPr>
          <w:p w:rsidR="003E361F" w:rsidRPr="006133F3" w:rsidRDefault="003E361F" w:rsidP="003E361F">
            <w:pPr>
              <w:suppressAutoHyphens w:val="0"/>
              <w:spacing w:after="0" w:line="240" w:lineRule="auto"/>
              <w:jc w:val="center"/>
              <w:rPr>
                <w:rFonts w:eastAsia="Times New Roman"/>
                <w:b/>
                <w:sz w:val="20"/>
                <w:szCs w:val="20"/>
                <w:lang w:eastAsia="ro-RO"/>
              </w:rPr>
            </w:pPr>
            <w:r w:rsidRPr="006133F3">
              <w:rPr>
                <w:rFonts w:eastAsia="Times New Roman"/>
                <w:b/>
                <w:sz w:val="20"/>
                <w:szCs w:val="20"/>
                <w:lang w:eastAsia="ro-RO"/>
              </w:rPr>
              <w:t>Self-evaluation</w:t>
            </w:r>
            <w:r w:rsidRPr="006133F3">
              <w:rPr>
                <w:rFonts w:eastAsia="Times New Roman"/>
                <w:b/>
                <w:sz w:val="20"/>
                <w:szCs w:val="20"/>
                <w:lang w:eastAsia="ro-RO"/>
              </w:rPr>
              <w:footnoteReference w:id="1"/>
            </w:r>
          </w:p>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 No. x single scorer)</w:t>
            </w:r>
          </w:p>
        </w:tc>
        <w:tc>
          <w:tcPr>
            <w:tcW w:w="1843" w:type="dxa"/>
          </w:tcPr>
          <w:p w:rsidR="003E361F" w:rsidRPr="006133F3" w:rsidRDefault="003E361F" w:rsidP="003E361F">
            <w:pPr>
              <w:suppressAutoHyphens w:val="0"/>
              <w:spacing w:after="0" w:line="240" w:lineRule="auto"/>
              <w:jc w:val="center"/>
              <w:rPr>
                <w:rFonts w:eastAsia="Times New Roman"/>
                <w:b/>
                <w:sz w:val="20"/>
                <w:szCs w:val="20"/>
                <w:lang w:eastAsia="ro-RO"/>
              </w:rPr>
            </w:pPr>
            <w:r w:rsidRPr="006133F3">
              <w:rPr>
                <w:rFonts w:eastAsia="Times New Roman"/>
                <w:b/>
                <w:sz w:val="20"/>
                <w:szCs w:val="20"/>
                <w:lang w:eastAsia="ro-RO"/>
              </w:rPr>
              <w:t>Commission’s evaluation</w:t>
            </w:r>
          </w:p>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(av. evaluation)</w:t>
            </w: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In extenso articles or reviews, published in ISI indexed journals, with IF higher or equal to p, as main author </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 (3 x IF)</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In extenso articles or reviews, published in ISI indexed journals, with IF lower than p or in WOS indexed journals (IF=0), but indexed in at least two recognized international databases, of which at least one is full-text, as main author</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 IF</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Books published – main author – by presses classified as A1 or A2 (m A1 = 3; m A2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I4</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Chapters in books, published as main author by presses classified A1 or A2 (m A1 = 3; m A2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I5</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In extenso articles or reviews, published in ISI indexed journals, with IF higher or equal to p, as co-author</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 (3 x IF)/n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lastRenderedPageBreak/>
              <w:t>I6</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In extenso articles or reviews, published in ISI indexed journals, with IF lower than p or in WOS indexed journals (IF=0), but indexed in at least two recognized international databases, of which at least one is full-text, as co-author</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 IF)/n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I7</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Books as co-author by presses classified as A1 or A2 (m A1 = 3; m A2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I8</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Chapters in books, published as co-author by presses classified A1 or A2 (m A1 = 3; m A2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I9</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In extenso papers(proceedings) indexed on WoS or other recognized IDB, as main author, published in international conference volumes, relevant in the field, available as full-text in at least one IDB (at I9 and I10 a maximum of two contributions/editions conference can be taken into account) </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I10</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In extenso papers(proceedings) indexed on WoS or other recognized IDB, as co-author, published in international conference volumes, relevant in the field, available as full-text in at least one IDB </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I11</w:t>
            </w:r>
          </w:p>
        </w:tc>
        <w:tc>
          <w:tcPr>
            <w:tcW w:w="8079" w:type="dxa"/>
          </w:tcPr>
          <w:p w:rsidR="003E361F" w:rsidRPr="006133F3" w:rsidRDefault="003E361F" w:rsidP="003E361F">
            <w:pPr>
              <w:suppressAutoHyphens w:val="0"/>
              <w:spacing w:after="0"/>
              <w:rPr>
                <w:rFonts w:eastAsia="Times New Roman"/>
                <w:sz w:val="20"/>
                <w:szCs w:val="20"/>
                <w:lang w:eastAsia="ro-RO"/>
              </w:rPr>
            </w:pPr>
            <w:r w:rsidRPr="006133F3">
              <w:rPr>
                <w:rFonts w:eastAsia="Times New Roman"/>
                <w:sz w:val="20"/>
                <w:szCs w:val="20"/>
                <w:lang w:eastAsia="ro-RO"/>
              </w:rPr>
              <w:t>Other in extenso articles published as author-co-author in scientific journals, if the journals are indexed at the level of abstracts in at least one international database</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I12</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Books published as author/co-author by B-classified publishers (m B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I13</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Chapters in books published as author/co-author by B-classified publishers (m B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I14</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Author/co-author - educational policy / strategy analysis reports</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I14.1 international reports (m = 3);</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I14.2 national reports (m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8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I15</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Patents/copyrights/registered trademarks OSIM/ORDA, as a result of a scientific innovation endeavour, with a view to elaborating curriculum materials, psychological or educational tests, motor/functional testing, specialised software, etc.</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I16</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Citations of the candidate’s publications in WOS indexed journals (self-citations are excluded)</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0.5</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I17</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Other citations of the candidate’s publications (self-citations are excluded)</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I17.1 Available in A1 classified works (m = 3)</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I17.2 Available in A2 classified works or in the Scopus database (other than those already included in I16) (m = 1)</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I17.3 Available in B classified works or in other identifiable academic sources, via Google Scholar  (other than those already included) (m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0.5</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I18</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Keynote speaker at international (m = 3)/national (m = 1) conferences</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I19</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Member of a scientific committee (A)/Scientific referee for the evaluation and selection of conference papers (B)/Member of the organizing committee (C)/Symposium coordinator (Chair) (D) (only one role/conference is scored)</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19.1 International conferences (m = 3)</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19.2 National conferences (m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lastRenderedPageBreak/>
              <w:t>I20</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Chairperson or member of the executive committee of an international (m=3) or national (m=1) professional (m = 3) </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I21</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Awards and distinctions</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I21.1 Awards for the scientific activity, offered by reputable international (m=3) or national (m=1) scientific/professional institutions or organizations </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(mobility grants or article awards from the red, yellow, etc zone are not included) </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I21.2 Awards for the teaching activity granted by reputable international/national institutions/organizations (e.g. Bologna Professor, etc.) (m = 1)</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I21. Obtaining prestigious results regarding the promotion of the country and of the Romanian education (for example distinctions, medals received by the athletes, coaches, other specialists for results at the Olympics, CM, CE etc., offered by the Romanian Presidency, MENCS, MTS etc.)</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I22</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Coordinator of a book collection</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6</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I23</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Coordinator of a book relevant to the field (m A1 = 3; m A2 = 1; m B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8 x m/n</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I24</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Editor-in-chief/editor or member of an editorial board of a journal with scientific committee and peer-review </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I24. Web of Science  indexed journal (m = 3)</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I24.2 Journal indexed in at least two international databases (m = 1)</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I24.3 IDB indexed journal (m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I25</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Ad hoc scientific referee for journals with scientific committee and peer-review </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I25.1 Web of Science indexed journal</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I25.2 IDB indexed journal (other than WoS)</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0.3/0.2</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I26</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Associate professor /visiting scholar for a period of at least one month / holding a conference or lecture in front of professors or doctoral students (only one aspect per university is scored; Erasmus exchanges are not included here)</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26.1 at a university in TOP 500 according to URAP classification(m = 3)</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26.2 at a university that is not in TOP 500 URAP, following an invitation from the host institution (m = 1)</w:t>
            </w: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26.3 guest lecturer / lecturer at international sports federations / CIO Olympic Academy / International Professional Associations (m = 1) / national sports federations or COSR Olympic Academy (m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0.5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I27</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Manager of a funded grant/coordinated institution</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I27.1 Director of research grants of wide public relevance obtained in an international competition, awarded by an international agency / institution (m = 3)</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lastRenderedPageBreak/>
              <w:t>I27.2 A. Director of research grant with wide public relevance obtained in a national competition / B. Coordinator of the Romanian team for a research grant with wide public relevance, obtained in an international competition (m = 1)</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I27.3 A. Manager or partner coordinator of an institutional development grant (e.g. SOP HRD, Erasmus +, etc.) / B. Manager or partner coordinator of a research grant with specific relevance (e.g. funded by a company), obtained in a national or international competition / C. Partner coordinator for a research grant with wide public relevance, obtained in a national competition (m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lastRenderedPageBreak/>
              <w:t>9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lastRenderedPageBreak/>
              <w:t>I28</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Member of the funded grant team / coordinated institution</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I28.1 Team member of a research grant of wide public relevance obtained in an international or national competition (m = 1)</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I28.2 Team member of a research grant with specific relevance or of an institutional development grant obtained in an international or national competition (m = 0.5)</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I29</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Mentoring / supervision activity</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29.1 Scientific supervisor / member of the committee for the guidance or evaluation of doctoral theses (total score at 29.1 is capped at a maximum of 10 points)</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29.2 Mentor with official role of supervising postdoctoral researchers</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1/0.5</w:t>
            </w:r>
          </w:p>
          <w:p w:rsidR="003E361F" w:rsidRPr="006133F3" w:rsidRDefault="003E361F" w:rsidP="003E361F">
            <w:pPr>
              <w:suppressAutoHyphens w:val="0"/>
              <w:spacing w:after="0" w:line="240" w:lineRule="auto"/>
              <w:jc w:val="center"/>
              <w:rPr>
                <w:rFonts w:eastAsia="Times New Roman"/>
                <w:sz w:val="20"/>
                <w:szCs w:val="20"/>
                <w:lang w:eastAsia="ro-RO"/>
              </w:rPr>
            </w:pPr>
          </w:p>
          <w:p w:rsidR="003E361F" w:rsidRPr="006133F3" w:rsidRDefault="003E361F" w:rsidP="003E361F">
            <w:pPr>
              <w:suppressAutoHyphens w:val="0"/>
              <w:spacing w:after="0" w:line="240" w:lineRule="auto"/>
              <w:jc w:val="center"/>
              <w:rPr>
                <w:rFonts w:eastAsia="Times New Roman"/>
                <w:sz w:val="20"/>
                <w:szCs w:val="20"/>
                <w:lang w:eastAsia="ro-RO"/>
              </w:rPr>
            </w:pPr>
          </w:p>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I30</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 xml:space="preserve">30.1 Initiation or coordination of university or postgraduate study programs </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 xml:space="preserve">30.2 Publication of university courses (contributions that have been included in indicators I3, I7 or I12 cannot be scored here) </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30.3 Introduction of new disciplines in the curriculum</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w:t>
            </w:r>
          </w:p>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w:t>
            </w:r>
          </w:p>
          <w:p w:rsidR="003E361F" w:rsidRPr="006133F3" w:rsidRDefault="003E361F" w:rsidP="003E361F">
            <w:pPr>
              <w:suppressAutoHyphens w:val="0"/>
              <w:spacing w:after="0" w:line="240" w:lineRule="auto"/>
              <w:jc w:val="center"/>
              <w:rPr>
                <w:rFonts w:eastAsia="Times New Roman"/>
                <w:sz w:val="20"/>
                <w:szCs w:val="20"/>
                <w:lang w:eastAsia="ro-RO"/>
              </w:rPr>
            </w:pPr>
          </w:p>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0.5</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I31</w:t>
            </w:r>
          </w:p>
        </w:tc>
        <w:tc>
          <w:tcPr>
            <w:tcW w:w="8079" w:type="dxa"/>
          </w:tcPr>
          <w:p w:rsidR="003E361F" w:rsidRPr="006133F3" w:rsidRDefault="003E361F" w:rsidP="003E361F">
            <w:pPr>
              <w:suppressAutoHyphens w:val="0"/>
              <w:spacing w:after="0" w:line="240" w:lineRule="auto"/>
              <w:rPr>
                <w:b/>
                <w:sz w:val="20"/>
                <w:szCs w:val="20"/>
                <w:lang w:eastAsia="en-US"/>
              </w:rPr>
            </w:pPr>
            <w:r w:rsidRPr="006133F3">
              <w:rPr>
                <w:sz w:val="20"/>
                <w:szCs w:val="20"/>
                <w:lang w:eastAsia="en-US"/>
              </w:rPr>
              <w:t>Coordination of a research centre or laboratory, recognized by the University Senate or the Scientific Council of the Research Institute</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I32</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Project evaluator/member of the panel in international (m=3) / national (m=1) research grant competitions </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I33</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Member of the group of experts</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33.1 Scientific committees / councils or international bodies (e.g. UNESCO, UNICEF, IOC, International federations in the field of sport, etc.) (m = 3)</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33.2 Scientific committees / councils or national bodies (CNATDCU, CNCS, ANCS, ARACIS or other advisory / working group at MENCS or inter-ministerial level, set up following an order issued by MENCS or another ministerial forum) (m = 1)</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 x m</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I34</w:t>
            </w:r>
          </w:p>
        </w:tc>
        <w:tc>
          <w:tcPr>
            <w:tcW w:w="8079"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Providing services for external beneficiaries of the institution (training/further professional development courses or programmes in the field of activity)</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0,5</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534" w:type="dxa"/>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lastRenderedPageBreak/>
              <w:t>I35</w:t>
            </w:r>
          </w:p>
        </w:tc>
        <w:tc>
          <w:tcPr>
            <w:tcW w:w="8079" w:type="dxa"/>
          </w:tcPr>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 xml:space="preserve">35.1 Emeritus coach / professor emeritus / master emeritus of sport / international referee / commissioner / observer (only the qualities existing at the date of registration are taken into account) </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 xml:space="preserve">35.2 Awards for sports activities, offered by national (MTS, MENCS, COSR) or international institutions </w:t>
            </w:r>
          </w:p>
          <w:p w:rsidR="003E361F" w:rsidRPr="006133F3" w:rsidRDefault="003E361F" w:rsidP="003E361F">
            <w:pPr>
              <w:suppressAutoHyphens w:val="0"/>
              <w:spacing w:after="0" w:line="240" w:lineRule="auto"/>
              <w:rPr>
                <w:sz w:val="20"/>
                <w:szCs w:val="20"/>
                <w:lang w:eastAsia="en-US"/>
              </w:rPr>
            </w:pPr>
            <w:r w:rsidRPr="006133F3">
              <w:rPr>
                <w:sz w:val="20"/>
                <w:szCs w:val="20"/>
                <w:lang w:eastAsia="en-US"/>
              </w:rPr>
              <w:t>35.3 Performances of trained athletes (OJ, CM, JMU - places 1-5; CE, CN - places 1), creations on the line of performance sports, motor and functional recoveries, kinesiotherapy and kinetic prophylaxis (methodical lines / methodologies / training strategies on sports branches / sports event recognized in the community of specialists / federations by sports branches); prophylaxis and recovery programs by kinetic means for different categories of population / age groups / occupational groups / pathologies) recognized by national and international professional and / or scientific associations</w:t>
            </w:r>
          </w:p>
        </w:tc>
        <w:tc>
          <w:tcPr>
            <w:tcW w:w="25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3/2/2</w:t>
            </w: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r w:rsidR="003E361F" w:rsidRPr="006133F3" w:rsidTr="006133F3">
        <w:tc>
          <w:tcPr>
            <w:tcW w:w="8613" w:type="dxa"/>
            <w:gridSpan w:val="2"/>
          </w:tcPr>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b/>
                <w:sz w:val="20"/>
                <w:szCs w:val="20"/>
                <w:lang w:eastAsia="ro-RO"/>
              </w:rPr>
              <w:t>Score</w:t>
            </w:r>
          </w:p>
        </w:tc>
        <w:tc>
          <w:tcPr>
            <w:tcW w:w="2552" w:type="dxa"/>
          </w:tcPr>
          <w:p w:rsidR="003E361F" w:rsidRPr="006133F3" w:rsidRDefault="003E361F" w:rsidP="003E361F">
            <w:pPr>
              <w:suppressAutoHyphens w:val="0"/>
              <w:spacing w:after="0" w:line="240" w:lineRule="auto"/>
              <w:rPr>
                <w:rFonts w:eastAsia="Times New Roman"/>
                <w:sz w:val="20"/>
                <w:szCs w:val="20"/>
                <w:lang w:eastAsia="ro-RO"/>
              </w:rPr>
            </w:pPr>
          </w:p>
        </w:tc>
        <w:tc>
          <w:tcPr>
            <w:tcW w:w="1984" w:type="dxa"/>
          </w:tcPr>
          <w:p w:rsidR="003E361F" w:rsidRPr="006133F3" w:rsidRDefault="003E361F" w:rsidP="003E361F">
            <w:pPr>
              <w:suppressAutoHyphens w:val="0"/>
              <w:spacing w:after="0" w:line="240" w:lineRule="auto"/>
              <w:rPr>
                <w:rFonts w:eastAsia="Times New Roman"/>
                <w:sz w:val="20"/>
                <w:szCs w:val="20"/>
                <w:lang w:eastAsia="ro-RO"/>
              </w:rPr>
            </w:pPr>
          </w:p>
        </w:tc>
        <w:tc>
          <w:tcPr>
            <w:tcW w:w="1843" w:type="dxa"/>
          </w:tcPr>
          <w:p w:rsidR="003E361F" w:rsidRPr="006133F3" w:rsidRDefault="003E361F" w:rsidP="003E361F">
            <w:pPr>
              <w:suppressAutoHyphens w:val="0"/>
              <w:spacing w:after="0" w:line="240" w:lineRule="auto"/>
              <w:rPr>
                <w:rFonts w:eastAsia="Times New Roman"/>
                <w:sz w:val="20"/>
                <w:szCs w:val="20"/>
                <w:lang w:eastAsia="ro-RO"/>
              </w:rPr>
            </w:pPr>
          </w:p>
        </w:tc>
      </w:tr>
    </w:tbl>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 xml:space="preserve">Criteria specific to the field of </w:t>
      </w:r>
      <w:r w:rsidRPr="006133F3">
        <w:rPr>
          <w:rFonts w:eastAsia="Times New Roman"/>
          <w:b/>
          <w:sz w:val="20"/>
          <w:szCs w:val="20"/>
          <w:lang w:eastAsia="ro-RO"/>
        </w:rPr>
        <w:t>Psychology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62"/>
        <w:gridCol w:w="2573"/>
        <w:gridCol w:w="2474"/>
        <w:gridCol w:w="2116"/>
        <w:gridCol w:w="2140"/>
      </w:tblGrid>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Criterion</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Definition of criterion</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professor /CS1</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associate professor/ CS2</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lecturer</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assistant professor/research assistant</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C1</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31.25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18.75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C2</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 + I4</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9</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C3</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 + ... + I15)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C4</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I16</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19</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11.5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C5</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I27</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9</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C6</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(I16 + ... + I35)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C7</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Overall total</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200</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20</w:t>
            </w:r>
          </w:p>
        </w:tc>
      </w:tr>
    </w:tbl>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b/>
          <w:sz w:val="20"/>
          <w:szCs w:val="20"/>
          <w:lang w:eastAsia="ro-RO"/>
        </w:rPr>
      </w:pPr>
      <w:r w:rsidRPr="006133F3">
        <w:rPr>
          <w:rFonts w:eastAsia="Times New Roman"/>
          <w:sz w:val="20"/>
          <w:szCs w:val="20"/>
          <w:lang w:eastAsia="ro-RO"/>
        </w:rPr>
        <w:t xml:space="preserve">Criteria specific to the field of </w:t>
      </w:r>
      <w:r w:rsidRPr="006133F3">
        <w:rPr>
          <w:rFonts w:eastAsia="Times New Roman"/>
          <w:b/>
          <w:sz w:val="20"/>
          <w:szCs w:val="20"/>
          <w:lang w:eastAsia="ro-RO"/>
        </w:rPr>
        <w:t>Education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62"/>
        <w:gridCol w:w="2573"/>
        <w:gridCol w:w="2474"/>
        <w:gridCol w:w="2116"/>
        <w:gridCol w:w="2140"/>
      </w:tblGrid>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Criterion</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Definition of criterion</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professor /CS1</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associate professor/ CS2</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lecturer</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assistant professor/research assistant</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C1</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3.75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3.3</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C2</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 + I4</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C3</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 + ... + I15)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C4</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I16</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C5</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I27</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9</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lastRenderedPageBreak/>
              <w:t>C6</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(I16 + ... + I35)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C7</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Overall total</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150</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90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22.5</w:t>
            </w:r>
          </w:p>
        </w:tc>
      </w:tr>
    </w:tbl>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b/>
          <w:sz w:val="20"/>
          <w:szCs w:val="20"/>
          <w:lang w:eastAsia="ro-RO"/>
        </w:rPr>
      </w:pPr>
      <w:r w:rsidRPr="006133F3">
        <w:rPr>
          <w:rFonts w:eastAsia="Times New Roman"/>
          <w:sz w:val="20"/>
          <w:szCs w:val="20"/>
          <w:lang w:eastAsia="ro-RO"/>
        </w:rPr>
        <w:t xml:space="preserve">Criteria specific to the field of </w:t>
      </w:r>
      <w:r w:rsidRPr="006133F3">
        <w:rPr>
          <w:rFonts w:eastAsia="Times New Roman"/>
          <w:b/>
          <w:sz w:val="20"/>
          <w:szCs w:val="20"/>
          <w:lang w:eastAsia="ro-RO"/>
        </w:rPr>
        <w:t>Physical Education and Sports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62"/>
        <w:gridCol w:w="2573"/>
        <w:gridCol w:w="2474"/>
        <w:gridCol w:w="2116"/>
        <w:gridCol w:w="2140"/>
      </w:tblGrid>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Criterion</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Definition criterion</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professor /CS1</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associate  professor/ CS2</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lecturer</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Standard for assistant professor/research assistant</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C1</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C2</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I3 + I4</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30</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18</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C3</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 + ... + I15)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81.25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48.75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27.5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13.75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C4</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I16</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C5</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I27</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4.5</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3</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0</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C6</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Total (I16 + ... + I35)</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69</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42</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12.5</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6.25</w:t>
            </w:r>
          </w:p>
        </w:tc>
      </w:tr>
      <w:tr w:rsidR="003E361F" w:rsidRPr="006133F3" w:rsidTr="006133F3">
        <w:tc>
          <w:tcPr>
            <w:tcW w:w="237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C7</w:t>
            </w:r>
          </w:p>
        </w:tc>
        <w:tc>
          <w:tcPr>
            <w:tcW w:w="2404"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Overall total</w:t>
            </w:r>
          </w:p>
        </w:tc>
        <w:tc>
          <w:tcPr>
            <w:tcW w:w="262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150</w:t>
            </w:r>
          </w:p>
        </w:tc>
        <w:tc>
          <w:tcPr>
            <w:tcW w:w="2518"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90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40</w:t>
            </w:r>
          </w:p>
        </w:tc>
        <w:tc>
          <w:tcPr>
            <w:tcW w:w="2152" w:type="dxa"/>
          </w:tcPr>
          <w:p w:rsidR="003E361F" w:rsidRPr="006133F3" w:rsidRDefault="003E361F" w:rsidP="003E361F">
            <w:pPr>
              <w:suppressAutoHyphens w:val="0"/>
              <w:spacing w:after="0" w:line="240" w:lineRule="auto"/>
              <w:jc w:val="center"/>
              <w:rPr>
                <w:rFonts w:eastAsia="Times New Roman"/>
                <w:sz w:val="20"/>
                <w:szCs w:val="20"/>
                <w:lang w:eastAsia="ro-RO"/>
              </w:rPr>
            </w:pPr>
            <w:r w:rsidRPr="006133F3">
              <w:rPr>
                <w:rFonts w:eastAsia="Times New Roman"/>
                <w:sz w:val="20"/>
                <w:szCs w:val="20"/>
                <w:lang w:eastAsia="ro-RO"/>
              </w:rPr>
              <w:t>20</w:t>
            </w:r>
          </w:p>
        </w:tc>
      </w:tr>
    </w:tbl>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Score calculated by the Candidate ______________________________ Signature __________________________________</w:t>
      </w:r>
    </w:p>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granted by the Commission  (av. of the 5 evaluations)</w:t>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t>__________________</w:t>
      </w:r>
    </w:p>
    <w:p w:rsidR="003E361F" w:rsidRPr="006133F3" w:rsidRDefault="003E361F" w:rsidP="003E361F">
      <w:pPr>
        <w:suppressAutoHyphens w:val="0"/>
        <w:spacing w:after="0" w:line="240" w:lineRule="auto"/>
        <w:jc w:val="both"/>
        <w:rPr>
          <w:rFonts w:eastAsia="Times New Roman"/>
          <w:b/>
          <w:sz w:val="20"/>
          <w:szCs w:val="20"/>
          <w:lang w:eastAsia="ro-RO"/>
        </w:rPr>
      </w:pPr>
    </w:p>
    <w:p w:rsidR="003E361F" w:rsidRPr="006133F3" w:rsidRDefault="003E361F" w:rsidP="003E361F">
      <w:pPr>
        <w:suppressAutoHyphens w:val="0"/>
        <w:spacing w:after="0" w:line="240" w:lineRule="auto"/>
        <w:jc w:val="both"/>
        <w:rPr>
          <w:rFonts w:eastAsia="Times New Roman"/>
          <w:b/>
          <w:sz w:val="20"/>
          <w:szCs w:val="20"/>
          <w:lang w:eastAsia="ro-RO"/>
        </w:rPr>
      </w:pPr>
      <w:r w:rsidRPr="006133F3">
        <w:rPr>
          <w:rFonts w:eastAsia="Times New Roman"/>
          <w:b/>
          <w:sz w:val="20"/>
          <w:szCs w:val="20"/>
          <w:lang w:eastAsia="ro-RO"/>
        </w:rPr>
        <w:t xml:space="preserve">II. WRITTEN EXAMINATION (only for the position of assistant professor) </w:t>
      </w:r>
    </w:p>
    <w:p w:rsidR="003E361F" w:rsidRPr="006133F3" w:rsidRDefault="003E361F" w:rsidP="003E361F">
      <w:p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Score achieved (av. of the 5 evaluations)</w:t>
      </w:r>
      <w:r w:rsidRPr="006133F3">
        <w:rPr>
          <w:rFonts w:eastAsia="Times New Roman"/>
          <w:sz w:val="20"/>
          <w:szCs w:val="20"/>
          <w:lang w:eastAsia="ro-RO"/>
        </w:rPr>
        <w:tab/>
        <w:t>(minimum 70 points - maximum 100 points)</w:t>
      </w:r>
      <w:r w:rsidRPr="006133F3">
        <w:rPr>
          <w:rFonts w:eastAsia="Times New Roman"/>
          <w:sz w:val="20"/>
          <w:szCs w:val="20"/>
          <w:lang w:eastAsia="ro-RO"/>
        </w:rPr>
        <w:tab/>
      </w:r>
      <w:r w:rsidRPr="006133F3">
        <w:rPr>
          <w:rFonts w:eastAsia="Times New Roman"/>
          <w:sz w:val="20"/>
          <w:szCs w:val="20"/>
          <w:lang w:eastAsia="ro-RO"/>
        </w:rPr>
        <w:tab/>
        <w:t>___________________</w:t>
      </w:r>
    </w:p>
    <w:p w:rsidR="003E361F" w:rsidRPr="006133F3" w:rsidRDefault="003E361F" w:rsidP="003E361F">
      <w:pPr>
        <w:suppressAutoHyphens w:val="0"/>
        <w:spacing w:after="0" w:line="240" w:lineRule="auto"/>
        <w:jc w:val="both"/>
        <w:rPr>
          <w:rFonts w:eastAsia="Times New Roman"/>
          <w:b/>
          <w:sz w:val="20"/>
          <w:szCs w:val="20"/>
          <w:lang w:eastAsia="ro-RO"/>
        </w:rPr>
      </w:pPr>
    </w:p>
    <w:p w:rsidR="003E361F" w:rsidRPr="006133F3" w:rsidRDefault="003E361F" w:rsidP="003E361F">
      <w:pPr>
        <w:suppressAutoHyphens w:val="0"/>
        <w:spacing w:after="0" w:line="240" w:lineRule="auto"/>
        <w:jc w:val="both"/>
        <w:rPr>
          <w:rFonts w:eastAsia="Times New Roman"/>
          <w:b/>
          <w:sz w:val="20"/>
          <w:szCs w:val="20"/>
          <w:lang w:eastAsia="ro-RO"/>
        </w:rPr>
      </w:pPr>
      <w:r w:rsidRPr="006133F3">
        <w:rPr>
          <w:rFonts w:eastAsia="Times New Roman"/>
          <w:b/>
          <w:sz w:val="20"/>
          <w:szCs w:val="20"/>
          <w:lang w:eastAsia="ro-RO"/>
        </w:rPr>
        <w:t>III. PUBLIC PRESENTATION</w:t>
      </w:r>
    </w:p>
    <w:p w:rsidR="003E361F" w:rsidRPr="006133F3" w:rsidRDefault="003E361F" w:rsidP="003E361F">
      <w:pPr>
        <w:numPr>
          <w:ilvl w:val="0"/>
          <w:numId w:val="8"/>
        </w:num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 xml:space="preserve">The contents of the presentation, strategy, realism, means, identif. of opportunities, risks (av. of the 5 evaluations) </w:t>
      </w:r>
      <w:r w:rsidRPr="006133F3">
        <w:rPr>
          <w:rFonts w:eastAsia="Times New Roman"/>
          <w:sz w:val="20"/>
          <w:szCs w:val="20"/>
          <w:lang w:eastAsia="ro-RO"/>
        </w:rPr>
        <w:tab/>
        <w:t>- max 60 p</w:t>
      </w:r>
      <w:r w:rsidRPr="006133F3">
        <w:rPr>
          <w:rFonts w:eastAsia="Times New Roman"/>
          <w:sz w:val="20"/>
          <w:szCs w:val="20"/>
          <w:lang w:eastAsia="ro-RO"/>
        </w:rPr>
        <w:tab/>
        <w:t>_____</w:t>
      </w:r>
    </w:p>
    <w:p w:rsidR="003E361F" w:rsidRPr="006133F3" w:rsidRDefault="003E361F" w:rsidP="003E361F">
      <w:pPr>
        <w:numPr>
          <w:ilvl w:val="0"/>
          <w:numId w:val="8"/>
        </w:numPr>
        <w:suppressAutoHyphens w:val="0"/>
        <w:spacing w:after="0" w:line="240" w:lineRule="auto"/>
        <w:rPr>
          <w:rFonts w:eastAsia="Times New Roman"/>
          <w:sz w:val="20"/>
          <w:szCs w:val="20"/>
          <w:lang w:eastAsia="ro-RO"/>
        </w:rPr>
      </w:pPr>
      <w:r w:rsidRPr="006133F3">
        <w:rPr>
          <w:rFonts w:eastAsia="Times New Roman"/>
          <w:sz w:val="20"/>
          <w:szCs w:val="20"/>
          <w:lang w:eastAsia="ro-RO"/>
        </w:rPr>
        <w:t xml:space="preserve">Quality of the presentation   (av. of the 5 evaluations) </w:t>
      </w:r>
      <w:r w:rsidRPr="006133F3">
        <w:rPr>
          <w:rFonts w:eastAsia="Times New Roman"/>
          <w:sz w:val="20"/>
          <w:szCs w:val="20"/>
          <w:lang w:eastAsia="ro-RO"/>
        </w:rPr>
        <w:tab/>
        <w:t xml:space="preserve"> </w:t>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00D879CD" w:rsidRPr="006133F3">
        <w:rPr>
          <w:rFonts w:eastAsia="Times New Roman"/>
          <w:sz w:val="20"/>
          <w:szCs w:val="20"/>
          <w:lang w:eastAsia="ro-RO"/>
        </w:rPr>
        <w:tab/>
      </w:r>
      <w:r w:rsidRPr="006133F3">
        <w:rPr>
          <w:rFonts w:eastAsia="Times New Roman"/>
          <w:sz w:val="20"/>
          <w:szCs w:val="20"/>
          <w:lang w:eastAsia="ro-RO"/>
        </w:rPr>
        <w:t xml:space="preserve">- max 20 p </w:t>
      </w:r>
      <w:r w:rsidR="00D879CD" w:rsidRPr="006133F3">
        <w:rPr>
          <w:rFonts w:eastAsia="Times New Roman"/>
          <w:sz w:val="20"/>
          <w:szCs w:val="20"/>
          <w:lang w:eastAsia="ro-RO"/>
        </w:rPr>
        <w:tab/>
      </w:r>
      <w:r w:rsidRPr="006133F3">
        <w:rPr>
          <w:rFonts w:eastAsia="Times New Roman"/>
          <w:sz w:val="20"/>
          <w:szCs w:val="20"/>
          <w:lang w:eastAsia="ro-RO"/>
        </w:rPr>
        <w:t xml:space="preserve"> _____</w:t>
      </w:r>
    </w:p>
    <w:p w:rsidR="003E361F" w:rsidRPr="006133F3" w:rsidRDefault="003E361F" w:rsidP="003E361F">
      <w:pPr>
        <w:numPr>
          <w:ilvl w:val="0"/>
          <w:numId w:val="1"/>
        </w:num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 xml:space="preserve">Way of providing answers to the questions asked by the commission/audience (av. of the 5 evaluations) </w:t>
      </w:r>
      <w:r w:rsidRPr="006133F3">
        <w:rPr>
          <w:rFonts w:eastAsia="Times New Roman"/>
          <w:sz w:val="20"/>
          <w:szCs w:val="20"/>
          <w:lang w:eastAsia="ro-RO"/>
        </w:rPr>
        <w:tab/>
      </w:r>
      <w:r w:rsidRPr="006133F3">
        <w:rPr>
          <w:rFonts w:eastAsia="Times New Roman"/>
          <w:sz w:val="20"/>
          <w:szCs w:val="20"/>
          <w:lang w:eastAsia="ro-RO"/>
        </w:rPr>
        <w:tab/>
        <w:t>- max. 20 p</w:t>
      </w:r>
      <w:r w:rsidRPr="006133F3">
        <w:rPr>
          <w:rFonts w:eastAsia="Times New Roman"/>
          <w:sz w:val="20"/>
          <w:szCs w:val="20"/>
          <w:lang w:eastAsia="ro-RO"/>
        </w:rPr>
        <w:tab/>
        <w:t>_____</w:t>
      </w:r>
    </w:p>
    <w:p w:rsidR="003E361F" w:rsidRPr="006133F3" w:rsidRDefault="003E361F" w:rsidP="003E361F">
      <w:pPr>
        <w:suppressAutoHyphens w:val="0"/>
        <w:spacing w:after="0" w:line="240" w:lineRule="auto"/>
        <w:jc w:val="both"/>
        <w:rPr>
          <w:rFonts w:eastAsia="Times New Roman"/>
          <w:sz w:val="20"/>
          <w:szCs w:val="20"/>
          <w:lang w:eastAsia="ro-RO"/>
        </w:rPr>
      </w:pPr>
    </w:p>
    <w:p w:rsidR="003E361F" w:rsidRPr="006133F3" w:rsidRDefault="003E361F" w:rsidP="003E361F">
      <w:pPr>
        <w:suppressAutoHyphens w:val="0"/>
        <w:spacing w:after="0" w:line="240" w:lineRule="auto"/>
        <w:jc w:val="both"/>
        <w:rPr>
          <w:rFonts w:eastAsia="Times New Roman"/>
          <w:sz w:val="20"/>
          <w:szCs w:val="20"/>
          <w:lang w:eastAsia="ro-RO"/>
        </w:rPr>
      </w:pPr>
      <w:r w:rsidRPr="006133F3">
        <w:rPr>
          <w:rFonts w:eastAsia="Times New Roman"/>
          <w:sz w:val="20"/>
          <w:szCs w:val="20"/>
          <w:lang w:eastAsia="ro-RO"/>
        </w:rPr>
        <w:t>Score achieved (minimum 70 points - maximum 100 points)</w:t>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t>_______________</w:t>
      </w:r>
    </w:p>
    <w:p w:rsidR="003E361F" w:rsidRPr="006133F3" w:rsidRDefault="003E361F" w:rsidP="003E361F">
      <w:pPr>
        <w:suppressAutoHyphens w:val="0"/>
        <w:spacing w:after="0" w:line="240" w:lineRule="auto"/>
        <w:jc w:val="both"/>
        <w:rPr>
          <w:rFonts w:eastAsia="Times New Roman"/>
          <w:b/>
          <w:sz w:val="20"/>
          <w:szCs w:val="20"/>
          <w:lang w:eastAsia="ro-RO"/>
        </w:rPr>
      </w:pPr>
    </w:p>
    <w:p w:rsidR="003E361F" w:rsidRPr="006133F3" w:rsidRDefault="003E361F" w:rsidP="003E361F">
      <w:pPr>
        <w:suppressAutoHyphens w:val="0"/>
        <w:spacing w:after="0" w:line="240" w:lineRule="auto"/>
        <w:jc w:val="both"/>
        <w:rPr>
          <w:rFonts w:eastAsia="Times New Roman"/>
          <w:b/>
          <w:sz w:val="20"/>
          <w:szCs w:val="20"/>
          <w:lang w:eastAsia="ro-RO"/>
        </w:rPr>
      </w:pPr>
      <w:r w:rsidRPr="006133F3">
        <w:rPr>
          <w:rFonts w:eastAsia="Times New Roman"/>
          <w:b/>
          <w:sz w:val="20"/>
          <w:szCs w:val="20"/>
          <w:lang w:eastAsia="ro-RO"/>
        </w:rPr>
        <w:t>TOTAL SCORE</w:t>
      </w:r>
      <w:r w:rsidRPr="006133F3">
        <w:rPr>
          <w:rFonts w:eastAsia="Times New Roman"/>
          <w:b/>
          <w:sz w:val="20"/>
          <w:szCs w:val="20"/>
          <w:lang w:eastAsia="ro-RO"/>
        </w:rPr>
        <w:tab/>
      </w:r>
      <w:r w:rsidRPr="006133F3">
        <w:rPr>
          <w:rFonts w:eastAsia="Times New Roman"/>
          <w:b/>
          <w:sz w:val="20"/>
          <w:szCs w:val="20"/>
          <w:lang w:eastAsia="ro-RO"/>
        </w:rPr>
        <w:tab/>
        <w:t>(sum of the scores obtained at the 2-3 evaluations)</w:t>
      </w:r>
      <w:r w:rsidRPr="006133F3">
        <w:rPr>
          <w:rFonts w:eastAsia="Times New Roman"/>
          <w:b/>
          <w:sz w:val="20"/>
          <w:szCs w:val="20"/>
          <w:lang w:eastAsia="ro-RO"/>
        </w:rPr>
        <w:tab/>
      </w:r>
      <w:r w:rsidRPr="006133F3">
        <w:rPr>
          <w:rFonts w:eastAsia="Times New Roman"/>
          <w:b/>
          <w:sz w:val="20"/>
          <w:szCs w:val="20"/>
          <w:lang w:eastAsia="ro-RO"/>
        </w:rPr>
        <w:tab/>
        <w:t xml:space="preserve">             </w:t>
      </w:r>
      <w:r w:rsidRPr="006133F3">
        <w:rPr>
          <w:rFonts w:eastAsia="Times New Roman"/>
          <w:b/>
          <w:sz w:val="20"/>
          <w:szCs w:val="20"/>
          <w:lang w:eastAsia="ro-RO"/>
        </w:rPr>
        <w:tab/>
      </w:r>
      <w:r w:rsidRPr="006133F3">
        <w:rPr>
          <w:rFonts w:eastAsia="Times New Roman"/>
          <w:b/>
          <w:sz w:val="20"/>
          <w:szCs w:val="20"/>
          <w:lang w:eastAsia="ro-RO"/>
        </w:rPr>
        <w:tab/>
        <w:t xml:space="preserve"> ________________</w:t>
      </w:r>
      <w:r w:rsidRPr="006133F3">
        <w:rPr>
          <w:rFonts w:eastAsia="Times New Roman"/>
          <w:b/>
          <w:sz w:val="20"/>
          <w:szCs w:val="20"/>
          <w:lang w:eastAsia="ro-RO"/>
        </w:rPr>
        <w:tab/>
      </w:r>
    </w:p>
    <w:p w:rsidR="003E361F" w:rsidRPr="006133F3" w:rsidRDefault="003E361F" w:rsidP="003E361F">
      <w:pPr>
        <w:suppressAutoHyphens w:val="0"/>
        <w:spacing w:after="0" w:line="240" w:lineRule="auto"/>
        <w:rPr>
          <w:rFonts w:eastAsia="Times New Roman"/>
          <w:b/>
          <w:sz w:val="20"/>
          <w:szCs w:val="20"/>
          <w:lang w:eastAsia="ro-RO"/>
        </w:rPr>
      </w:pPr>
    </w:p>
    <w:p w:rsidR="003E361F" w:rsidRPr="006133F3" w:rsidRDefault="003E361F" w:rsidP="003E361F">
      <w:pPr>
        <w:suppressAutoHyphens w:val="0"/>
        <w:spacing w:after="0" w:line="240" w:lineRule="auto"/>
        <w:rPr>
          <w:rFonts w:eastAsia="Times New Roman"/>
          <w:b/>
          <w:sz w:val="20"/>
          <w:szCs w:val="20"/>
          <w:lang w:eastAsia="ro-RO"/>
        </w:rPr>
      </w:pPr>
      <w:r w:rsidRPr="006133F3">
        <w:rPr>
          <w:rFonts w:eastAsia="Times New Roman"/>
          <w:b/>
          <w:sz w:val="20"/>
          <w:szCs w:val="20"/>
          <w:lang w:eastAsia="ro-RO"/>
        </w:rPr>
        <w:t>Chairperson of the Commission</w:t>
      </w:r>
      <w:r w:rsidRPr="006133F3">
        <w:rPr>
          <w:rFonts w:eastAsia="Times New Roman"/>
          <w:b/>
          <w:sz w:val="20"/>
          <w:szCs w:val="20"/>
          <w:lang w:eastAsia="ro-RO"/>
        </w:rPr>
        <w:tab/>
      </w:r>
      <w:r w:rsidRPr="006133F3">
        <w:rPr>
          <w:rFonts w:eastAsia="Times New Roman"/>
          <w:b/>
          <w:sz w:val="20"/>
          <w:szCs w:val="20"/>
          <w:lang w:eastAsia="ro-RO"/>
        </w:rPr>
        <w:tab/>
      </w:r>
      <w:r w:rsidRPr="006133F3">
        <w:rPr>
          <w:rFonts w:eastAsia="Times New Roman"/>
          <w:b/>
          <w:sz w:val="20"/>
          <w:szCs w:val="20"/>
          <w:lang w:eastAsia="ro-RO"/>
        </w:rPr>
        <w:tab/>
      </w:r>
      <w:r w:rsidRPr="006133F3">
        <w:rPr>
          <w:rFonts w:eastAsia="Times New Roman"/>
          <w:b/>
          <w:sz w:val="20"/>
          <w:szCs w:val="20"/>
          <w:lang w:eastAsia="ro-RO"/>
        </w:rPr>
        <w:tab/>
        <w:t xml:space="preserve">    Members of the Commission</w:t>
      </w:r>
      <w:r w:rsidRPr="006133F3">
        <w:rPr>
          <w:rFonts w:eastAsia="Times New Roman"/>
          <w:b/>
          <w:sz w:val="20"/>
          <w:szCs w:val="20"/>
          <w:lang w:eastAsia="ro-RO"/>
        </w:rPr>
        <w:tab/>
      </w:r>
      <w:r w:rsidRPr="006133F3">
        <w:rPr>
          <w:rFonts w:eastAsia="Times New Roman"/>
          <w:b/>
          <w:sz w:val="20"/>
          <w:szCs w:val="20"/>
          <w:lang w:eastAsia="ro-RO"/>
        </w:rPr>
        <w:tab/>
      </w:r>
      <w:r w:rsidRPr="006133F3">
        <w:rPr>
          <w:rFonts w:eastAsia="Times New Roman"/>
          <w:b/>
          <w:sz w:val="20"/>
          <w:szCs w:val="20"/>
          <w:lang w:eastAsia="ro-RO"/>
        </w:rPr>
        <w:tab/>
        <w:t>Secretary of the Commission</w:t>
      </w:r>
      <w:r w:rsidRPr="006133F3">
        <w:rPr>
          <w:rFonts w:eastAsia="Times New Roman"/>
          <w:b/>
          <w:sz w:val="20"/>
          <w:szCs w:val="20"/>
          <w:lang w:eastAsia="ro-RO"/>
        </w:rPr>
        <w:tab/>
      </w: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rPr>
          <w:rFonts w:eastAsia="Times New Roman"/>
          <w:sz w:val="20"/>
          <w:szCs w:val="20"/>
          <w:lang w:eastAsia="ro-RO"/>
        </w:rPr>
      </w:pPr>
      <w:r w:rsidRPr="006133F3">
        <w:rPr>
          <w:rFonts w:eastAsia="Times New Roman"/>
          <w:sz w:val="20"/>
          <w:szCs w:val="20"/>
          <w:lang w:eastAsia="ro-RO"/>
        </w:rPr>
        <w:t>______________________</w:t>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r>
      <w:r w:rsidRPr="006133F3">
        <w:rPr>
          <w:rFonts w:eastAsia="Times New Roman"/>
          <w:sz w:val="20"/>
          <w:szCs w:val="20"/>
          <w:lang w:eastAsia="ro-RO"/>
        </w:rPr>
        <w:tab/>
        <w:t xml:space="preserve">   ___________________________</w:t>
      </w:r>
      <w:r w:rsidRPr="006133F3">
        <w:rPr>
          <w:rFonts w:eastAsia="Times New Roman"/>
          <w:sz w:val="20"/>
          <w:szCs w:val="20"/>
          <w:lang w:eastAsia="ro-RO"/>
        </w:rPr>
        <w:tab/>
      </w:r>
      <w:r w:rsidRPr="006133F3">
        <w:rPr>
          <w:rFonts w:eastAsia="Times New Roman"/>
          <w:sz w:val="20"/>
          <w:szCs w:val="20"/>
          <w:lang w:eastAsia="ro-RO"/>
        </w:rPr>
        <w:tab/>
        <w:t xml:space="preserve">    ______________</w:t>
      </w:r>
    </w:p>
    <w:p w:rsidR="003E361F" w:rsidRPr="006133F3" w:rsidRDefault="003E361F" w:rsidP="003E361F">
      <w:pPr>
        <w:suppressAutoHyphens w:val="0"/>
        <w:spacing w:after="0" w:line="240" w:lineRule="auto"/>
        <w:ind w:left="4255" w:firstLine="851"/>
        <w:rPr>
          <w:rFonts w:eastAsia="Times New Roman"/>
          <w:b/>
          <w:sz w:val="20"/>
          <w:szCs w:val="20"/>
          <w:lang w:eastAsia="ro-RO"/>
        </w:rPr>
      </w:pPr>
      <w:r w:rsidRPr="006133F3">
        <w:rPr>
          <w:rFonts w:eastAsia="Times New Roman"/>
          <w:sz w:val="20"/>
          <w:szCs w:val="20"/>
          <w:lang w:eastAsia="ro-RO"/>
        </w:rPr>
        <w:t xml:space="preserve">  ___________________________</w:t>
      </w:r>
    </w:p>
    <w:p w:rsidR="003E361F" w:rsidRPr="006133F3" w:rsidRDefault="003E361F" w:rsidP="003E361F">
      <w:pPr>
        <w:suppressAutoHyphens w:val="0"/>
        <w:spacing w:after="0" w:line="240" w:lineRule="auto"/>
        <w:ind w:left="4255" w:firstLine="851"/>
        <w:rPr>
          <w:rFonts w:eastAsia="Times New Roman"/>
          <w:b/>
          <w:sz w:val="20"/>
          <w:szCs w:val="20"/>
          <w:lang w:eastAsia="ro-RO"/>
        </w:rPr>
      </w:pPr>
      <w:r w:rsidRPr="006133F3">
        <w:rPr>
          <w:rFonts w:eastAsia="Times New Roman"/>
          <w:sz w:val="20"/>
          <w:szCs w:val="20"/>
          <w:lang w:eastAsia="ro-RO"/>
        </w:rPr>
        <w:lastRenderedPageBreak/>
        <w:t xml:space="preserve">    ___________________________</w:t>
      </w:r>
    </w:p>
    <w:p w:rsidR="003E361F" w:rsidRPr="006133F3" w:rsidRDefault="003E361F" w:rsidP="003E361F">
      <w:pPr>
        <w:suppressAutoHyphens w:val="0"/>
        <w:spacing w:after="0" w:line="240" w:lineRule="auto"/>
        <w:ind w:left="4255" w:firstLine="851"/>
        <w:rPr>
          <w:rFonts w:eastAsia="Times New Roman"/>
          <w:b/>
          <w:sz w:val="20"/>
          <w:szCs w:val="20"/>
          <w:lang w:eastAsia="ro-RO"/>
        </w:rPr>
      </w:pPr>
      <w:r w:rsidRPr="006133F3">
        <w:rPr>
          <w:rFonts w:eastAsia="Times New Roman"/>
          <w:b/>
          <w:sz w:val="20"/>
          <w:szCs w:val="20"/>
          <w:lang w:eastAsia="ro-RO"/>
        </w:rPr>
        <w:t xml:space="preserve">    </w:t>
      </w:r>
      <w:r w:rsidRPr="006133F3">
        <w:rPr>
          <w:rFonts w:eastAsia="Times New Roman"/>
          <w:sz w:val="20"/>
          <w:szCs w:val="20"/>
          <w:lang w:eastAsia="ro-RO"/>
        </w:rPr>
        <w:t>___________________________</w:t>
      </w:r>
    </w:p>
    <w:p w:rsidR="003E361F" w:rsidRPr="006133F3" w:rsidRDefault="003E361F" w:rsidP="003E361F">
      <w:pPr>
        <w:suppressAutoHyphens w:val="0"/>
        <w:spacing w:after="0" w:line="240" w:lineRule="auto"/>
        <w:rPr>
          <w:rFonts w:eastAsia="Times New Roman"/>
          <w:sz w:val="20"/>
          <w:szCs w:val="20"/>
          <w:lang w:eastAsia="ro-RO"/>
        </w:rPr>
      </w:pPr>
    </w:p>
    <w:p w:rsidR="003E361F" w:rsidRPr="006133F3" w:rsidRDefault="003E361F" w:rsidP="003E361F">
      <w:pPr>
        <w:suppressAutoHyphens w:val="0"/>
        <w:spacing w:after="0" w:line="240" w:lineRule="auto"/>
        <w:rPr>
          <w:rFonts w:eastAsia="Times New Roman"/>
          <w:sz w:val="20"/>
          <w:szCs w:val="20"/>
          <w:lang w:eastAsia="ro-RO"/>
        </w:rPr>
      </w:pPr>
    </w:p>
    <w:p w:rsidR="00582AB3" w:rsidRPr="006133F3" w:rsidRDefault="00582AB3" w:rsidP="00A47650">
      <w:pPr>
        <w:rPr>
          <w:sz w:val="20"/>
          <w:szCs w:val="20"/>
        </w:rPr>
      </w:pPr>
    </w:p>
    <w:sectPr w:rsidR="00582AB3" w:rsidRPr="006133F3"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9CE" w:rsidRDefault="000639CE" w:rsidP="0041257C">
      <w:pPr>
        <w:spacing w:after="0" w:line="240" w:lineRule="auto"/>
      </w:pPr>
      <w:r>
        <w:separator/>
      </w:r>
    </w:p>
  </w:endnote>
  <w:endnote w:type="continuationSeparator" w:id="0">
    <w:p w:rsidR="000639CE" w:rsidRDefault="000639CE"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D" w:rsidRDefault="00814C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F604A7">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26196">
                            <w:rPr>
                              <w:noProof/>
                              <w:color w:val="FFFFFF"/>
                              <w:sz w:val="20"/>
                              <w:szCs w:val="20"/>
                            </w:rPr>
                            <w:t>3</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26196">
                      <w:rPr>
                        <w:noProof/>
                        <w:color w:val="FFFFFF"/>
                        <w:sz w:val="20"/>
                        <w:szCs w:val="20"/>
                      </w:rPr>
                      <w:t>3</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D" w:rsidRDefault="00814C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9CE" w:rsidRDefault="000639CE" w:rsidP="0041257C">
      <w:pPr>
        <w:spacing w:after="0" w:line="240" w:lineRule="auto"/>
      </w:pPr>
      <w:r>
        <w:separator/>
      </w:r>
    </w:p>
  </w:footnote>
  <w:footnote w:type="continuationSeparator" w:id="0">
    <w:p w:rsidR="000639CE" w:rsidRDefault="000639CE" w:rsidP="0041257C">
      <w:pPr>
        <w:spacing w:after="0" w:line="240" w:lineRule="auto"/>
      </w:pPr>
      <w:r>
        <w:continuationSeparator/>
      </w:r>
    </w:p>
  </w:footnote>
  <w:footnote w:id="1">
    <w:p w:rsidR="003E361F" w:rsidRPr="00811326" w:rsidRDefault="003E361F" w:rsidP="003E361F">
      <w:pPr>
        <w:rPr>
          <w:rFonts w:ascii="Arial Narro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D" w:rsidRDefault="00814C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A4770B" w:rsidP="00A4770B">
    <w:pPr>
      <w:pageBreakBefore/>
    </w:pPr>
    <w:r>
      <w:rPr>
        <w:rFonts w:ascii="Arial Narrow" w:hAnsi="Arial Narrow" w:cs="Arial Narrow"/>
        <w:color w:val="000000"/>
        <w:sz w:val="24"/>
        <w:szCs w:val="24"/>
      </w:rPr>
      <w:tab/>
    </w:r>
    <w:r w:rsidR="00196E7D" w:rsidRPr="007C17E1">
      <w:rPr>
        <w:noProof/>
        <w:sz w:val="24"/>
        <w:szCs w:val="24"/>
        <w:lang w:val="en-US" w:eastAsia="en-US"/>
      </w:rPr>
      <w:drawing>
        <wp:inline distT="0" distB="0" distL="0" distR="0" wp14:anchorId="7796E580" wp14:editId="72EF446D">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B15643">
      <w:rPr>
        <w:rFonts w:ascii="Arial Narrow" w:hAnsi="Arial Narrow" w:cs="Arial Narrow"/>
        <w:color w:val="000000"/>
        <w:sz w:val="24"/>
        <w:szCs w:val="24"/>
      </w:rPr>
      <w:t>1</w:t>
    </w:r>
    <w:r w:rsidR="003E361F">
      <w:rPr>
        <w:rFonts w:ascii="Arial Narrow" w:hAnsi="Arial Narrow" w:cs="Arial Narrow"/>
        <w:color w:val="000000"/>
        <w:sz w:val="24"/>
        <w:szCs w:val="24"/>
      </w:rPr>
      <w:t>5</w:t>
    </w:r>
    <w:r w:rsidR="0041257C">
      <w:rPr>
        <w:rFonts w:ascii="Arial Narrow" w:hAnsi="Arial Narrow" w:cs="Arial Narrow"/>
        <w:color w:val="000000"/>
        <w:sz w:val="24"/>
        <w:szCs w:val="24"/>
      </w:rPr>
      <w:t>-Ed.</w:t>
    </w:r>
    <w:r w:rsidR="009A335D" w:rsidRPr="009A335D">
      <w:rPr>
        <w:rFonts w:ascii="Arial Narrow" w:hAnsi="Arial Narrow" w:cs="Arial Narrow"/>
        <w:color w:val="000000"/>
        <w:sz w:val="24"/>
        <w:szCs w:val="24"/>
      </w:rPr>
      <w:t xml:space="preserve"> </w:t>
    </w:r>
    <w:r w:rsidR="009A335D">
      <w:rPr>
        <w:rFonts w:ascii="Arial Narrow" w:hAnsi="Arial Narrow" w:cs="Arial Narrow"/>
        <w:color w:val="000000"/>
        <w:sz w:val="24"/>
        <w:szCs w:val="24"/>
      </w:rPr>
      <w:t>2</w:t>
    </w:r>
    <w:r w:rsidR="00226196">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D" w:rsidRDefault="00814C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658D7"/>
    <w:multiLevelType w:val="hybridMultilevel"/>
    <w:tmpl w:val="42C4E84C"/>
    <w:lvl w:ilvl="0" w:tplc="398C224C">
      <w:start w:val="1"/>
      <w:numFmt w:val="upperRoman"/>
      <w:lvlText w:val="%1."/>
      <w:lvlJc w:val="left"/>
      <w:pPr>
        <w:ind w:left="3240" w:hanging="72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553E3B"/>
    <w:multiLevelType w:val="hybridMultilevel"/>
    <w:tmpl w:val="43DCDFE4"/>
    <w:lvl w:ilvl="0" w:tplc="E404342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6A6E3B60"/>
    <w:multiLevelType w:val="hybridMultilevel"/>
    <w:tmpl w:val="427ABFEA"/>
    <w:lvl w:ilvl="0" w:tplc="D99494F0">
      <w:start w:val="1"/>
      <w:numFmt w:val="upp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5"/>
  </w:num>
  <w:num w:numId="4">
    <w:abstractNumId w:val="10"/>
  </w:num>
  <w:num w:numId="5">
    <w:abstractNumId w:val="1"/>
  </w:num>
  <w:num w:numId="6">
    <w:abstractNumId w:val="7"/>
  </w:num>
  <w:num w:numId="7">
    <w:abstractNumId w:val="0"/>
  </w:num>
  <w:num w:numId="8">
    <w:abstractNumId w:val="2"/>
  </w:num>
  <w:num w:numId="9">
    <w:abstractNumId w:val="8"/>
  </w:num>
  <w:num w:numId="10">
    <w:abstractNumId w:val="9"/>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14327"/>
    <w:rsid w:val="00023EC3"/>
    <w:rsid w:val="000352FF"/>
    <w:rsid w:val="000639CE"/>
    <w:rsid w:val="000A54BC"/>
    <w:rsid w:val="001444C4"/>
    <w:rsid w:val="00154C62"/>
    <w:rsid w:val="00166044"/>
    <w:rsid w:val="00171ABC"/>
    <w:rsid w:val="00183754"/>
    <w:rsid w:val="00196E7D"/>
    <w:rsid w:val="001E305C"/>
    <w:rsid w:val="001F6F69"/>
    <w:rsid w:val="00226196"/>
    <w:rsid w:val="00250406"/>
    <w:rsid w:val="00254C15"/>
    <w:rsid w:val="002709AB"/>
    <w:rsid w:val="002B19E7"/>
    <w:rsid w:val="002D039A"/>
    <w:rsid w:val="00345A8D"/>
    <w:rsid w:val="00375858"/>
    <w:rsid w:val="003A008E"/>
    <w:rsid w:val="003E361F"/>
    <w:rsid w:val="0040106C"/>
    <w:rsid w:val="0041257C"/>
    <w:rsid w:val="00432DFD"/>
    <w:rsid w:val="00472502"/>
    <w:rsid w:val="004A0B98"/>
    <w:rsid w:val="004B31D7"/>
    <w:rsid w:val="004F21B7"/>
    <w:rsid w:val="004F2916"/>
    <w:rsid w:val="00582AB3"/>
    <w:rsid w:val="005D4057"/>
    <w:rsid w:val="005F26EF"/>
    <w:rsid w:val="006133F3"/>
    <w:rsid w:val="00613C65"/>
    <w:rsid w:val="006162BB"/>
    <w:rsid w:val="00617652"/>
    <w:rsid w:val="0064456F"/>
    <w:rsid w:val="00644928"/>
    <w:rsid w:val="0069418E"/>
    <w:rsid w:val="006B4014"/>
    <w:rsid w:val="006B767C"/>
    <w:rsid w:val="00740917"/>
    <w:rsid w:val="007420A0"/>
    <w:rsid w:val="00750447"/>
    <w:rsid w:val="00756B5A"/>
    <w:rsid w:val="00773104"/>
    <w:rsid w:val="00776FAA"/>
    <w:rsid w:val="00785A70"/>
    <w:rsid w:val="0079719C"/>
    <w:rsid w:val="007B53D1"/>
    <w:rsid w:val="007D6442"/>
    <w:rsid w:val="00814C6D"/>
    <w:rsid w:val="008553F6"/>
    <w:rsid w:val="0089467C"/>
    <w:rsid w:val="008D1E48"/>
    <w:rsid w:val="008D25EA"/>
    <w:rsid w:val="009A335D"/>
    <w:rsid w:val="009C5D0F"/>
    <w:rsid w:val="00A47650"/>
    <w:rsid w:val="00A4770B"/>
    <w:rsid w:val="00A64AC4"/>
    <w:rsid w:val="00AC0C81"/>
    <w:rsid w:val="00B15643"/>
    <w:rsid w:val="00B2792C"/>
    <w:rsid w:val="00B55CC5"/>
    <w:rsid w:val="00B815BC"/>
    <w:rsid w:val="00BE1D3E"/>
    <w:rsid w:val="00C07981"/>
    <w:rsid w:val="00C54063"/>
    <w:rsid w:val="00C563D9"/>
    <w:rsid w:val="00CB7EE5"/>
    <w:rsid w:val="00D403E4"/>
    <w:rsid w:val="00D41608"/>
    <w:rsid w:val="00D8413B"/>
    <w:rsid w:val="00D879CD"/>
    <w:rsid w:val="00DA7893"/>
    <w:rsid w:val="00DB5AB2"/>
    <w:rsid w:val="00DD7B4D"/>
    <w:rsid w:val="00E57ECA"/>
    <w:rsid w:val="00E75757"/>
    <w:rsid w:val="00EA7822"/>
    <w:rsid w:val="00EC4FD9"/>
    <w:rsid w:val="00F30189"/>
    <w:rsid w:val="00F604A7"/>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09E58"/>
  <w15:docId w15:val="{1350F744-48BB-4209-81ED-BC8D166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8</cp:revision>
  <dcterms:created xsi:type="dcterms:W3CDTF">2021-10-21T11:12:00Z</dcterms:created>
  <dcterms:modified xsi:type="dcterms:W3CDTF">2023-10-09T08:50:00Z</dcterms:modified>
</cp:coreProperties>
</file>