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72" w:rsidRPr="0004346C" w:rsidRDefault="00FC5472" w:rsidP="0004346C">
      <w:pPr>
        <w:rPr>
          <w:rFonts w:asciiTheme="minorHAnsi" w:hAnsiTheme="minorHAnsi"/>
        </w:rPr>
      </w:pPr>
    </w:p>
    <w:p w:rsidR="0004346C" w:rsidRPr="0004346C" w:rsidRDefault="0004346C" w:rsidP="0004346C">
      <w:pPr>
        <w:pStyle w:val="Heading1"/>
        <w:ind w:left="6480" w:firstLine="720"/>
        <w:jc w:val="both"/>
        <w:rPr>
          <w:rFonts w:asciiTheme="minorHAnsi" w:hAnsiTheme="minorHAnsi"/>
          <w:bCs w:val="0"/>
          <w:sz w:val="28"/>
          <w:szCs w:val="28"/>
        </w:rPr>
      </w:pPr>
      <w:r w:rsidRPr="0004346C">
        <w:rPr>
          <w:rFonts w:asciiTheme="minorHAnsi" w:hAnsiTheme="minorHAnsi"/>
          <w:bCs w:val="0"/>
          <w:sz w:val="28"/>
          <w:szCs w:val="28"/>
        </w:rPr>
        <w:t>RECTOR,</w:t>
      </w:r>
    </w:p>
    <w:p w:rsidR="0004346C" w:rsidRPr="0004346C" w:rsidRDefault="0004346C" w:rsidP="0004346C">
      <w:pPr>
        <w:pStyle w:val="Title"/>
        <w:jc w:val="both"/>
        <w:rPr>
          <w:rFonts w:asciiTheme="minorHAnsi" w:hAnsiTheme="minorHAnsi"/>
          <w:bCs w:val="0"/>
          <w:sz w:val="24"/>
          <w:lang w:val="ro-RO"/>
        </w:rPr>
      </w:pPr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</w:r>
      <w:bookmarkStart w:id="0" w:name="_GoBack"/>
      <w:bookmarkEnd w:id="0"/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</w:r>
      <w:r w:rsidRPr="0004346C">
        <w:rPr>
          <w:rFonts w:asciiTheme="minorHAnsi" w:hAnsiTheme="minorHAnsi"/>
          <w:sz w:val="24"/>
          <w:lang w:val="ro-RO"/>
        </w:rPr>
        <w:tab/>
        <w:t>prof.dr. Azamfirei Leonard</w:t>
      </w:r>
    </w:p>
    <w:p w:rsidR="0004346C" w:rsidRPr="0004346C" w:rsidRDefault="0004346C" w:rsidP="0004346C">
      <w:pPr>
        <w:ind w:left="2880" w:firstLine="720"/>
        <w:rPr>
          <w:rFonts w:asciiTheme="minorHAnsi" w:hAnsiTheme="minorHAnsi" w:cs="Calibri"/>
          <w:b/>
          <w:sz w:val="28"/>
          <w:szCs w:val="32"/>
        </w:rPr>
      </w:pPr>
      <w:r w:rsidRPr="0004346C">
        <w:rPr>
          <w:rFonts w:asciiTheme="minorHAnsi" w:hAnsiTheme="minorHAnsi" w:cs="Calibri"/>
          <w:b/>
          <w:sz w:val="28"/>
          <w:szCs w:val="32"/>
        </w:rPr>
        <w:t>FIŞA POSTULUI</w:t>
      </w:r>
    </w:p>
    <w:p w:rsidR="0004346C" w:rsidRPr="0004346C" w:rsidRDefault="0004346C" w:rsidP="0004346C">
      <w:pPr>
        <w:jc w:val="center"/>
        <w:rPr>
          <w:rFonts w:asciiTheme="minorHAnsi" w:hAnsiTheme="minorHAnsi"/>
          <w:b/>
          <w:szCs w:val="28"/>
        </w:rPr>
      </w:pPr>
      <w:r w:rsidRPr="0004346C">
        <w:rPr>
          <w:rFonts w:asciiTheme="minorHAnsi" w:hAnsiTheme="minorHAnsi"/>
          <w:b/>
          <w:szCs w:val="28"/>
        </w:rPr>
        <w:t>anexă la contractul individual de muncă</w:t>
      </w:r>
    </w:p>
    <w:p w:rsidR="0004346C" w:rsidRPr="0004346C" w:rsidRDefault="0004346C" w:rsidP="0004346C">
      <w:pPr>
        <w:pStyle w:val="Heading1"/>
        <w:jc w:val="both"/>
        <w:rPr>
          <w:rFonts w:asciiTheme="minorHAnsi" w:hAnsiTheme="minorHAnsi"/>
          <w:b w:val="0"/>
          <w:sz w:val="28"/>
        </w:rPr>
      </w:pPr>
      <w:r w:rsidRPr="0004346C">
        <w:rPr>
          <w:rFonts w:asciiTheme="minorHAnsi" w:hAnsiTheme="minorHAnsi"/>
          <w:bCs w:val="0"/>
        </w:rPr>
        <w:tab/>
      </w:r>
      <w:r w:rsidRPr="0004346C">
        <w:rPr>
          <w:rFonts w:asciiTheme="minorHAnsi" w:hAnsiTheme="minorHAnsi"/>
          <w:bCs w:val="0"/>
        </w:rPr>
        <w:tab/>
      </w:r>
      <w:r w:rsidRPr="0004346C">
        <w:rPr>
          <w:rFonts w:asciiTheme="minorHAnsi" w:hAnsiTheme="minorHAnsi"/>
          <w:bCs w:val="0"/>
        </w:rPr>
        <w:tab/>
      </w:r>
      <w:r w:rsidRPr="0004346C">
        <w:rPr>
          <w:rFonts w:asciiTheme="minorHAnsi" w:hAnsiTheme="minorHAnsi"/>
          <w:bCs w:val="0"/>
        </w:rPr>
        <w:tab/>
      </w:r>
      <w:r w:rsidRPr="0004346C">
        <w:rPr>
          <w:rFonts w:asciiTheme="minorHAnsi" w:hAnsiTheme="minorHAnsi"/>
          <w:bCs w:val="0"/>
        </w:rPr>
        <w:tab/>
      </w:r>
      <w:r w:rsidRPr="0004346C">
        <w:rPr>
          <w:rFonts w:asciiTheme="minorHAnsi" w:hAnsiTheme="minorHAnsi"/>
          <w:bCs w:val="0"/>
          <w:sz w:val="24"/>
        </w:rPr>
        <w:tab/>
      </w:r>
      <w:r w:rsidRPr="0004346C">
        <w:rPr>
          <w:rFonts w:asciiTheme="minorHAnsi" w:hAnsiTheme="minorHAnsi"/>
          <w:b w:val="0"/>
          <w:sz w:val="28"/>
        </w:rPr>
        <w:tab/>
        <w:t xml:space="preserve">  </w:t>
      </w:r>
    </w:p>
    <w:p w:rsidR="0004346C" w:rsidRPr="0004346C" w:rsidRDefault="0004346C" w:rsidP="0004346C">
      <w:pPr>
        <w:shd w:val="clear" w:color="auto" w:fill="B3B3B3"/>
        <w:jc w:val="both"/>
        <w:rPr>
          <w:rFonts w:asciiTheme="minorHAnsi" w:hAnsiTheme="minorHAnsi"/>
          <w:b/>
          <w:bCs/>
          <w:sz w:val="28"/>
          <w:szCs w:val="28"/>
        </w:rPr>
      </w:pPr>
      <w:r w:rsidRPr="0004346C">
        <w:rPr>
          <w:rFonts w:asciiTheme="minorHAnsi" w:hAnsiTheme="minorHAnsi"/>
          <w:b/>
          <w:bCs/>
          <w:sz w:val="28"/>
          <w:szCs w:val="28"/>
          <w:lang w:val="pt-BR"/>
        </w:rPr>
        <w:t>1. Elemente de identificare ale postul</w:t>
      </w:r>
      <w:r w:rsidRPr="0004346C">
        <w:rPr>
          <w:rFonts w:asciiTheme="minorHAnsi" w:hAnsiTheme="minorHAnsi"/>
          <w:b/>
          <w:bCs/>
          <w:sz w:val="28"/>
          <w:szCs w:val="28"/>
        </w:rPr>
        <w:t>ui</w:t>
      </w:r>
    </w:p>
    <w:tbl>
      <w:tblPr>
        <w:tblW w:w="9790" w:type="dxa"/>
        <w:tblInd w:w="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6050"/>
      </w:tblGrid>
      <w:tr w:rsidR="0004346C" w:rsidRPr="0004346C" w:rsidTr="009138FF">
        <w:trPr>
          <w:trHeight w:val="427"/>
        </w:trPr>
        <w:tc>
          <w:tcPr>
            <w:tcW w:w="3740" w:type="dxa"/>
            <w:tcBorders>
              <w:top w:val="single" w:sz="4" w:space="0" w:color="000000"/>
            </w:tcBorders>
          </w:tcPr>
          <w:p w:rsidR="0004346C" w:rsidRPr="0004346C" w:rsidRDefault="000E1232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 xml:space="preserve">Departament / </w:t>
            </w:r>
            <w:r w:rsidR="0004346C" w:rsidRPr="0004346C">
              <w:rPr>
                <w:rFonts w:asciiTheme="minorHAnsi" w:hAnsiTheme="minorHAnsi"/>
                <w:lang w:val="it-IT"/>
              </w:rPr>
              <w:t>Disciplina:</w:t>
            </w:r>
          </w:p>
        </w:tc>
        <w:tc>
          <w:tcPr>
            <w:tcW w:w="6050" w:type="dxa"/>
            <w:tcBorders>
              <w:top w:val="single" w:sz="4" w:space="0" w:color="000000"/>
            </w:tcBorders>
          </w:tcPr>
          <w:p w:rsidR="0004346C" w:rsidRPr="0004346C" w:rsidRDefault="0004346C" w:rsidP="0004346C">
            <w:pPr>
              <w:pStyle w:val="Heading1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04346C" w:rsidRPr="0004346C" w:rsidTr="009138FF">
        <w:trPr>
          <w:trHeight w:val="227"/>
        </w:trPr>
        <w:tc>
          <w:tcPr>
            <w:tcW w:w="3740" w:type="dxa"/>
          </w:tcPr>
          <w:p w:rsidR="0004346C" w:rsidRPr="0004346C" w:rsidRDefault="0004346C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04346C">
              <w:rPr>
                <w:rFonts w:asciiTheme="minorHAnsi" w:hAnsiTheme="minorHAnsi"/>
                <w:lang w:val="it-IT"/>
              </w:rPr>
              <w:t>Denumirea postului / cod COR</w:t>
            </w:r>
          </w:p>
        </w:tc>
        <w:tc>
          <w:tcPr>
            <w:tcW w:w="6050" w:type="dxa"/>
          </w:tcPr>
          <w:p w:rsidR="0004346C" w:rsidRPr="0004346C" w:rsidRDefault="0004346C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04346C">
              <w:rPr>
                <w:rFonts w:asciiTheme="minorHAnsi" w:hAnsiTheme="minorHAnsi"/>
                <w:b/>
                <w:lang w:val="it-IT"/>
              </w:rPr>
              <w:t>Conferen</w:t>
            </w:r>
            <w:r w:rsidRPr="0004346C">
              <w:rPr>
                <w:rFonts w:asciiTheme="minorHAnsi" w:hAnsiTheme="minorHAnsi"/>
                <w:b/>
              </w:rPr>
              <w:t>ţiar universitar</w:t>
            </w:r>
            <w:r w:rsidRPr="0004346C">
              <w:rPr>
                <w:rFonts w:asciiTheme="minorHAnsi" w:hAnsiTheme="minorHAnsi"/>
              </w:rPr>
              <w:t xml:space="preserve"> / 231002</w:t>
            </w:r>
          </w:p>
        </w:tc>
      </w:tr>
      <w:tr w:rsidR="0004346C" w:rsidRPr="0004346C" w:rsidTr="009138FF">
        <w:tc>
          <w:tcPr>
            <w:tcW w:w="3740" w:type="dxa"/>
          </w:tcPr>
          <w:p w:rsidR="0004346C" w:rsidRPr="0004346C" w:rsidRDefault="0004346C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04346C">
              <w:rPr>
                <w:rFonts w:asciiTheme="minorHAnsi" w:hAnsiTheme="minorHAnsi"/>
                <w:lang w:val="it-IT"/>
              </w:rPr>
              <w:t>Numele prenumele:</w:t>
            </w:r>
          </w:p>
        </w:tc>
        <w:tc>
          <w:tcPr>
            <w:tcW w:w="6050" w:type="dxa"/>
          </w:tcPr>
          <w:p w:rsidR="0004346C" w:rsidRPr="0004346C" w:rsidRDefault="0004346C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</w:p>
        </w:tc>
      </w:tr>
      <w:tr w:rsidR="0004346C" w:rsidRPr="0004346C" w:rsidTr="009138FF">
        <w:tc>
          <w:tcPr>
            <w:tcW w:w="3740" w:type="dxa"/>
          </w:tcPr>
          <w:p w:rsidR="0004346C" w:rsidRPr="0004346C" w:rsidRDefault="0004346C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04346C">
              <w:rPr>
                <w:rFonts w:asciiTheme="minorHAnsi" w:hAnsiTheme="minorHAnsi"/>
              </w:rPr>
              <w:t>Nivelul postului:</w:t>
            </w:r>
          </w:p>
        </w:tc>
        <w:tc>
          <w:tcPr>
            <w:tcW w:w="6050" w:type="dxa"/>
          </w:tcPr>
          <w:p w:rsidR="0004346C" w:rsidRPr="0004346C" w:rsidRDefault="0004346C" w:rsidP="0004346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pt-BR"/>
              </w:rPr>
            </w:pPr>
            <w:r w:rsidRPr="0004346C">
              <w:rPr>
                <w:rFonts w:asciiTheme="minorHAnsi" w:hAnsiTheme="minorHAnsi" w:cs="Arial"/>
                <w:i/>
              </w:rPr>
              <w:t>de conducere / de execuţie, după caz</w:t>
            </w:r>
          </w:p>
        </w:tc>
      </w:tr>
    </w:tbl>
    <w:p w:rsidR="0004346C" w:rsidRPr="0004346C" w:rsidRDefault="0004346C" w:rsidP="0004346C">
      <w:pPr>
        <w:shd w:val="clear" w:color="auto" w:fill="B3B3B3"/>
        <w:jc w:val="both"/>
        <w:rPr>
          <w:rFonts w:asciiTheme="minorHAnsi" w:hAnsiTheme="minorHAnsi"/>
          <w:b/>
          <w:sz w:val="28"/>
          <w:lang w:val="pt-BR"/>
        </w:rPr>
      </w:pPr>
      <w:r w:rsidRPr="0004346C">
        <w:rPr>
          <w:rFonts w:asciiTheme="minorHAnsi" w:hAnsiTheme="minorHAnsi"/>
          <w:b/>
          <w:sz w:val="28"/>
          <w:lang w:val="pt-BR"/>
        </w:rPr>
        <w:t>2. Cerinţe</w:t>
      </w:r>
    </w:p>
    <w:p w:rsidR="0004346C" w:rsidRPr="0004346C" w:rsidRDefault="0004346C" w:rsidP="0004346C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pt-BR"/>
        </w:rPr>
      </w:pPr>
      <w:r w:rsidRPr="0004346C">
        <w:rPr>
          <w:rFonts w:asciiTheme="minorHAnsi" w:hAnsiTheme="minorHAnsi"/>
          <w:b/>
          <w:i/>
          <w:sz w:val="20"/>
          <w:szCs w:val="20"/>
          <w:lang w:val="pt-BR"/>
        </w:rPr>
        <w:t>Studii:</w:t>
      </w:r>
      <w:r w:rsidRPr="0004346C">
        <w:rPr>
          <w:rFonts w:asciiTheme="minorHAnsi" w:hAnsiTheme="minorHAnsi"/>
          <w:sz w:val="20"/>
          <w:szCs w:val="20"/>
          <w:lang w:val="pt-BR"/>
        </w:rPr>
        <w:t xml:space="preserve">  </w:t>
      </w:r>
      <w:r w:rsidRPr="0004346C">
        <w:rPr>
          <w:rFonts w:asciiTheme="minorHAnsi" w:hAnsiTheme="minorHAnsi"/>
          <w:b/>
          <w:i/>
          <w:sz w:val="20"/>
          <w:szCs w:val="20"/>
          <w:lang w:val="pt-BR"/>
        </w:rPr>
        <w:t xml:space="preserve"> </w:t>
      </w:r>
      <w:r w:rsidRPr="0004346C">
        <w:rPr>
          <w:rFonts w:asciiTheme="minorHAnsi" w:hAnsiTheme="minorHAnsi"/>
          <w:sz w:val="20"/>
          <w:szCs w:val="20"/>
          <w:lang w:val="pt-BR"/>
        </w:rPr>
        <w:t>superioare, conform Regulamentului de ocupare a posturilor didactice</w:t>
      </w:r>
    </w:p>
    <w:p w:rsidR="0004346C" w:rsidRPr="0004346C" w:rsidRDefault="0004346C" w:rsidP="0004346C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b/>
          <w:i/>
          <w:sz w:val="20"/>
          <w:szCs w:val="20"/>
          <w:lang w:val="pt-BR"/>
        </w:rPr>
        <w:t xml:space="preserve">Instruiri: </w:t>
      </w:r>
      <w:r w:rsidRPr="0004346C">
        <w:rPr>
          <w:rFonts w:asciiTheme="minorHAnsi" w:hAnsiTheme="minorHAnsi"/>
          <w:sz w:val="20"/>
          <w:szCs w:val="20"/>
          <w:lang w:val="pt-BR"/>
        </w:rPr>
        <w:t xml:space="preserve"> conform Regulamentului de ocupare a posturilor didactice</w:t>
      </w:r>
    </w:p>
    <w:p w:rsidR="0004346C" w:rsidRPr="0004346C" w:rsidRDefault="0004346C" w:rsidP="0004346C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pt-BR"/>
        </w:rPr>
      </w:pPr>
      <w:r w:rsidRPr="0004346C">
        <w:rPr>
          <w:rFonts w:asciiTheme="minorHAnsi" w:hAnsiTheme="minorHAnsi"/>
          <w:b/>
          <w:i/>
          <w:sz w:val="20"/>
          <w:szCs w:val="20"/>
          <w:lang w:val="pt-BR"/>
        </w:rPr>
        <w:t>Experienţă:</w:t>
      </w:r>
      <w:r w:rsidRPr="0004346C">
        <w:rPr>
          <w:rFonts w:asciiTheme="minorHAnsi" w:hAnsiTheme="minorHAnsi"/>
          <w:sz w:val="20"/>
          <w:szCs w:val="20"/>
          <w:lang w:val="pt-BR"/>
        </w:rPr>
        <w:t xml:space="preserve"> </w:t>
      </w:r>
      <w:r w:rsidRPr="0004346C">
        <w:rPr>
          <w:rFonts w:asciiTheme="minorHAnsi" w:hAnsiTheme="minorHAnsi"/>
          <w:b/>
          <w:i/>
          <w:sz w:val="20"/>
          <w:szCs w:val="20"/>
          <w:lang w:val="pt-BR"/>
        </w:rPr>
        <w:t xml:space="preserve"> </w:t>
      </w:r>
      <w:r w:rsidRPr="0004346C">
        <w:rPr>
          <w:rFonts w:asciiTheme="minorHAnsi" w:hAnsiTheme="minorHAnsi"/>
          <w:sz w:val="20"/>
          <w:szCs w:val="20"/>
          <w:lang w:val="pt-BR"/>
        </w:rPr>
        <w:t>conform Regulamentului de ocupare a posturilor didactice</w:t>
      </w:r>
    </w:p>
    <w:p w:rsidR="0004346C" w:rsidRPr="0004346C" w:rsidRDefault="0004346C" w:rsidP="0004346C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it-IT"/>
        </w:rPr>
      </w:pPr>
      <w:r w:rsidRPr="0004346C">
        <w:rPr>
          <w:rFonts w:asciiTheme="minorHAnsi" w:hAnsiTheme="minorHAnsi"/>
          <w:b/>
          <w:i/>
          <w:sz w:val="20"/>
          <w:szCs w:val="20"/>
          <w:lang w:val="it-IT"/>
        </w:rPr>
        <w:t>Abilităţi:</w:t>
      </w:r>
      <w:r w:rsidRPr="0004346C">
        <w:rPr>
          <w:rFonts w:asciiTheme="minorHAnsi" w:hAnsiTheme="minorHAnsi"/>
          <w:sz w:val="20"/>
          <w:szCs w:val="20"/>
          <w:lang w:val="it-IT"/>
        </w:rPr>
        <w:t xml:space="preserve">  de comunicare, colaborare, munca în echipă</w:t>
      </w:r>
    </w:p>
    <w:p w:rsidR="0004346C" w:rsidRPr="0004346C" w:rsidRDefault="0004346C" w:rsidP="0004346C">
      <w:pPr>
        <w:pStyle w:val="Heading2"/>
        <w:shd w:val="clear" w:color="auto" w:fill="B3B3B3"/>
        <w:jc w:val="both"/>
        <w:rPr>
          <w:rFonts w:asciiTheme="minorHAnsi" w:hAnsiTheme="minorHAnsi"/>
          <w:bCs w:val="0"/>
          <w:i w:val="0"/>
          <w:lang w:val="it-IT"/>
        </w:rPr>
      </w:pPr>
      <w:r w:rsidRPr="0004346C">
        <w:rPr>
          <w:rFonts w:asciiTheme="minorHAnsi" w:hAnsiTheme="minorHAnsi"/>
          <w:bCs w:val="0"/>
          <w:i w:val="0"/>
          <w:lang w:val="it-IT"/>
        </w:rPr>
        <w:t>3. Relaţii</w:t>
      </w:r>
    </w:p>
    <w:p w:rsidR="0004346C" w:rsidRPr="0004346C" w:rsidRDefault="0004346C" w:rsidP="0004346C">
      <w:pPr>
        <w:numPr>
          <w:ilvl w:val="1"/>
          <w:numId w:val="28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</w:rPr>
      </w:pPr>
      <w:r w:rsidRPr="0004346C">
        <w:rPr>
          <w:rFonts w:asciiTheme="minorHAnsi" w:hAnsiTheme="minorHAnsi"/>
          <w:b/>
          <w:i/>
        </w:rPr>
        <w:t xml:space="preserve">    ierarhice</w:t>
      </w:r>
    </w:p>
    <w:p w:rsidR="0004346C" w:rsidRPr="0004346C" w:rsidRDefault="0004346C" w:rsidP="0004346C">
      <w:pPr>
        <w:numPr>
          <w:ilvl w:val="0"/>
          <w:numId w:val="25"/>
        </w:numPr>
        <w:spacing w:after="0" w:line="240" w:lineRule="auto"/>
        <w:rPr>
          <w:rFonts w:asciiTheme="minorHAnsi" w:hAnsiTheme="minorHAnsi"/>
          <w:b/>
          <w:i/>
          <w:sz w:val="20"/>
          <w:szCs w:val="20"/>
        </w:rPr>
      </w:pPr>
      <w:r w:rsidRPr="0004346C">
        <w:rPr>
          <w:rFonts w:asciiTheme="minorHAnsi" w:hAnsiTheme="minorHAnsi"/>
          <w:i/>
          <w:sz w:val="20"/>
          <w:szCs w:val="20"/>
        </w:rPr>
        <w:t>este subordonat:</w:t>
      </w:r>
      <w:r w:rsidRPr="0004346C">
        <w:rPr>
          <w:rFonts w:asciiTheme="minorHAnsi" w:hAnsiTheme="minorHAnsi"/>
          <w:sz w:val="20"/>
          <w:szCs w:val="20"/>
        </w:rPr>
        <w:t xml:space="preserve"> </w:t>
      </w:r>
    </w:p>
    <w:p w:rsidR="0004346C" w:rsidRPr="0004346C" w:rsidRDefault="0004346C" w:rsidP="0004346C">
      <w:pPr>
        <w:numPr>
          <w:ilvl w:val="0"/>
          <w:numId w:val="25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  <w:sz w:val="20"/>
          <w:szCs w:val="20"/>
        </w:rPr>
      </w:pPr>
      <w:r w:rsidRPr="0004346C">
        <w:rPr>
          <w:rFonts w:asciiTheme="minorHAnsi" w:hAnsiTheme="minorHAnsi"/>
          <w:i/>
          <w:sz w:val="20"/>
          <w:szCs w:val="20"/>
        </w:rPr>
        <w:t xml:space="preserve">are în subordine: </w:t>
      </w:r>
    </w:p>
    <w:p w:rsidR="0004346C" w:rsidRPr="0004346C" w:rsidRDefault="0004346C" w:rsidP="0004346C">
      <w:pPr>
        <w:numPr>
          <w:ilvl w:val="1"/>
          <w:numId w:val="28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</w:rPr>
      </w:pPr>
      <w:r w:rsidRPr="0004346C">
        <w:rPr>
          <w:rFonts w:asciiTheme="minorHAnsi" w:hAnsiTheme="minorHAnsi"/>
          <w:b/>
          <w:i/>
        </w:rPr>
        <w:t xml:space="preserve">    funcţionale</w:t>
      </w:r>
    </w:p>
    <w:p w:rsidR="0004346C" w:rsidRPr="0004346C" w:rsidRDefault="0004346C" w:rsidP="0004346C">
      <w:pPr>
        <w:numPr>
          <w:ilvl w:val="0"/>
          <w:numId w:val="30"/>
        </w:numPr>
        <w:tabs>
          <w:tab w:val="clear" w:pos="720"/>
          <w:tab w:val="num" w:pos="330"/>
        </w:tabs>
        <w:spacing w:after="0" w:line="240" w:lineRule="auto"/>
        <w:ind w:hanging="720"/>
        <w:jc w:val="both"/>
        <w:rPr>
          <w:rFonts w:asciiTheme="minorHAnsi" w:hAnsiTheme="minorHAnsi"/>
          <w:b/>
          <w:i/>
          <w:sz w:val="20"/>
          <w:szCs w:val="20"/>
        </w:rPr>
      </w:pPr>
      <w:r w:rsidRPr="0004346C">
        <w:rPr>
          <w:rFonts w:asciiTheme="minorHAnsi" w:hAnsiTheme="minorHAnsi"/>
          <w:i/>
          <w:sz w:val="20"/>
          <w:szCs w:val="20"/>
        </w:rPr>
        <w:t>interne:</w:t>
      </w:r>
      <w:r w:rsidRPr="0004346C">
        <w:rPr>
          <w:rFonts w:asciiTheme="minorHAnsi" w:hAnsiTheme="minorHAnsi"/>
          <w:sz w:val="20"/>
          <w:szCs w:val="20"/>
        </w:rPr>
        <w:t xml:space="preserve"> </w:t>
      </w:r>
      <w:r w:rsidRPr="0004346C">
        <w:rPr>
          <w:rFonts w:asciiTheme="minorHAnsi" w:hAnsiTheme="minorHAnsi"/>
          <w:i/>
          <w:sz w:val="20"/>
          <w:szCs w:val="20"/>
        </w:rPr>
        <w:t>de colaborare cu membrii disciplinei / departamentului</w:t>
      </w:r>
    </w:p>
    <w:p w:rsidR="0004346C" w:rsidRPr="0004346C" w:rsidRDefault="0004346C" w:rsidP="0004346C">
      <w:pPr>
        <w:numPr>
          <w:ilvl w:val="0"/>
          <w:numId w:val="30"/>
        </w:numPr>
        <w:tabs>
          <w:tab w:val="clear" w:pos="720"/>
          <w:tab w:val="num" w:pos="330"/>
        </w:tabs>
        <w:spacing w:after="0" w:line="240" w:lineRule="auto"/>
        <w:ind w:left="330" w:hanging="33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04346C">
        <w:rPr>
          <w:rFonts w:asciiTheme="minorHAnsi" w:hAnsiTheme="minorHAnsi"/>
          <w:i/>
          <w:sz w:val="20"/>
          <w:szCs w:val="20"/>
          <w:lang w:val="it-IT"/>
        </w:rPr>
        <w:t>externe: de colaborare cu membrii comunitatii academice din universitate, cu membrii  comunitatii academice din ţară şi din străinatate</w:t>
      </w:r>
    </w:p>
    <w:p w:rsidR="0004346C" w:rsidRPr="0004346C" w:rsidRDefault="0004346C" w:rsidP="0004346C">
      <w:pPr>
        <w:numPr>
          <w:ilvl w:val="1"/>
          <w:numId w:val="28"/>
        </w:numPr>
        <w:spacing w:after="0" w:line="240" w:lineRule="auto"/>
        <w:rPr>
          <w:rFonts w:asciiTheme="minorHAnsi" w:hAnsiTheme="minorHAnsi"/>
          <w:b/>
          <w:i/>
          <w:lang w:val="it-IT"/>
        </w:rPr>
      </w:pPr>
      <w:r w:rsidRPr="0004346C">
        <w:rPr>
          <w:rFonts w:asciiTheme="minorHAnsi" w:hAnsiTheme="minorHAnsi"/>
          <w:b/>
          <w:i/>
          <w:lang w:val="it-IT"/>
        </w:rPr>
        <w:t>de înlocuire</w:t>
      </w:r>
    </w:p>
    <w:p w:rsidR="0004346C" w:rsidRPr="0004346C" w:rsidRDefault="0004346C" w:rsidP="0004346C">
      <w:pPr>
        <w:numPr>
          <w:ilvl w:val="0"/>
          <w:numId w:val="26"/>
        </w:numPr>
        <w:spacing w:after="0" w:line="240" w:lineRule="auto"/>
        <w:rPr>
          <w:rFonts w:asciiTheme="minorHAnsi" w:hAnsiTheme="minorHAnsi"/>
          <w:b/>
          <w:i/>
          <w:sz w:val="20"/>
          <w:szCs w:val="20"/>
          <w:lang w:val="it-IT"/>
        </w:rPr>
      </w:pPr>
      <w:r w:rsidRPr="0004346C">
        <w:rPr>
          <w:rFonts w:asciiTheme="minorHAnsi" w:hAnsiTheme="minorHAnsi"/>
          <w:i/>
          <w:sz w:val="20"/>
          <w:szCs w:val="20"/>
        </w:rPr>
        <w:t>este înlocuit de:</w:t>
      </w:r>
    </w:p>
    <w:p w:rsidR="0004346C" w:rsidRPr="0004346C" w:rsidRDefault="0004346C" w:rsidP="0004346C">
      <w:pPr>
        <w:numPr>
          <w:ilvl w:val="0"/>
          <w:numId w:val="26"/>
        </w:numPr>
        <w:spacing w:after="0" w:line="240" w:lineRule="auto"/>
        <w:rPr>
          <w:rFonts w:asciiTheme="minorHAnsi" w:hAnsiTheme="minorHAnsi"/>
          <w:i/>
          <w:sz w:val="20"/>
          <w:szCs w:val="20"/>
          <w:lang w:val="it-IT"/>
        </w:rPr>
      </w:pPr>
      <w:r w:rsidRPr="0004346C">
        <w:rPr>
          <w:rFonts w:asciiTheme="minorHAnsi" w:hAnsiTheme="minorHAnsi"/>
          <w:i/>
          <w:sz w:val="20"/>
          <w:szCs w:val="20"/>
          <w:lang w:val="it-IT"/>
        </w:rPr>
        <w:t>înlocuieşte pe:</w:t>
      </w:r>
    </w:p>
    <w:p w:rsidR="0004346C" w:rsidRPr="0004346C" w:rsidRDefault="0004346C" w:rsidP="0004346C">
      <w:pPr>
        <w:pStyle w:val="Heading2"/>
        <w:shd w:val="clear" w:color="auto" w:fill="B3B3B3"/>
        <w:jc w:val="both"/>
        <w:rPr>
          <w:rFonts w:asciiTheme="minorHAnsi" w:hAnsiTheme="minorHAnsi"/>
          <w:bCs w:val="0"/>
          <w:i w:val="0"/>
          <w:lang w:val="it-IT"/>
        </w:rPr>
      </w:pPr>
      <w:r w:rsidRPr="0004346C">
        <w:rPr>
          <w:rFonts w:asciiTheme="minorHAnsi" w:hAnsiTheme="minorHAnsi"/>
          <w:bCs w:val="0"/>
          <w:i w:val="0"/>
          <w:lang w:val="it-IT"/>
        </w:rPr>
        <w:t>4. Responsabilităţi</w:t>
      </w:r>
    </w:p>
    <w:p w:rsidR="0004346C" w:rsidRPr="0004346C" w:rsidRDefault="0004346C" w:rsidP="0004346C">
      <w:pPr>
        <w:rPr>
          <w:rFonts w:asciiTheme="minorHAnsi" w:hAnsiTheme="minorHAnsi"/>
          <w:b/>
          <w:i/>
          <w:lang w:val="pt-BR"/>
        </w:rPr>
      </w:pPr>
      <w:r w:rsidRPr="0004346C">
        <w:rPr>
          <w:rFonts w:asciiTheme="minorHAnsi" w:hAnsiTheme="minorHAnsi"/>
          <w:b/>
          <w:i/>
          <w:lang w:val="pt-BR"/>
        </w:rPr>
        <w:t>4.1. generale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Răspunde de realizarea eficientă a tuturor sarcinilor stabilite.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Răspunde de respectarea documentaţiei sistemului de management al calităţii, aplicabil.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Răspunde de întocmirea în mod corespunzător, corect şi la timp a documentelor şi înregistrărilor necesare activităţii desfăşurate.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</w:rPr>
        <w:t>Să respecte îndat</w:t>
      </w:r>
      <w:r w:rsidR="000E1232">
        <w:rPr>
          <w:rFonts w:asciiTheme="minorHAnsi" w:hAnsiTheme="minorHAnsi"/>
          <w:sz w:val="20"/>
          <w:szCs w:val="20"/>
        </w:rPr>
        <w:t>oririle art. 17 din Carta UMFST G.E. Palade</w:t>
      </w:r>
      <w:r w:rsidRPr="0004346C">
        <w:rPr>
          <w:rFonts w:asciiTheme="minorHAnsi" w:hAnsiTheme="minorHAnsi"/>
          <w:sz w:val="20"/>
          <w:szCs w:val="20"/>
        </w:rPr>
        <w:t xml:space="preserve"> Tg. Mureş.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</w:rPr>
        <w:t>Să întrunească  cel puţin punctajul minim stabilit în Grila de autoevaluare.</w:t>
      </w:r>
    </w:p>
    <w:p w:rsidR="0004346C" w:rsidRPr="0004346C" w:rsidRDefault="0004346C" w:rsidP="0004346C">
      <w:pPr>
        <w:rPr>
          <w:rFonts w:asciiTheme="minorHAnsi" w:hAnsiTheme="minorHAnsi"/>
          <w:b/>
        </w:rPr>
      </w:pPr>
      <w:r w:rsidRPr="0004346C">
        <w:rPr>
          <w:rFonts w:asciiTheme="minorHAnsi" w:hAnsiTheme="minorHAnsi"/>
          <w:b/>
          <w:i/>
        </w:rPr>
        <w:t>4.2. specifice</w:t>
      </w:r>
    </w:p>
    <w:p w:rsidR="0004346C" w:rsidRPr="0004346C" w:rsidRDefault="0004346C" w:rsidP="0004346C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lastRenderedPageBreak/>
        <w:t>Răspunde de calitatea prestaţiei didactice în conformitate cu programa analitica a disciplinei.</w:t>
      </w:r>
    </w:p>
    <w:p w:rsidR="0004346C" w:rsidRPr="0004346C" w:rsidRDefault="0004346C" w:rsidP="0004346C">
      <w:pPr>
        <w:pStyle w:val="NoSpacing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Răspunde de actualizarea cunoştinţelor şi perfecţionarea pregătirii profesionale în ocupaţia de bază, precum şi în ocupaţii înrudite.</w:t>
      </w:r>
    </w:p>
    <w:p w:rsidR="0004346C" w:rsidRPr="0004346C" w:rsidRDefault="0004346C" w:rsidP="0004346C">
      <w:pPr>
        <w:pStyle w:val="NoSpacing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4346C">
        <w:rPr>
          <w:rFonts w:asciiTheme="minorHAnsi" w:hAnsiTheme="minorHAnsi"/>
          <w:sz w:val="20"/>
          <w:szCs w:val="20"/>
        </w:rPr>
        <w:t>Răspunde de rigoarea ştiinţifică, gradul de sistematizare, nivelul de accesibilitate al  cunoştiinţelor predate.</w:t>
      </w:r>
    </w:p>
    <w:p w:rsidR="0004346C" w:rsidRPr="0004346C" w:rsidRDefault="0004346C" w:rsidP="0004346C">
      <w:pPr>
        <w:pStyle w:val="Heading2"/>
        <w:shd w:val="clear" w:color="auto" w:fill="B3B3B3"/>
        <w:jc w:val="both"/>
        <w:rPr>
          <w:rFonts w:asciiTheme="minorHAnsi" w:hAnsiTheme="minorHAnsi"/>
          <w:bCs w:val="0"/>
          <w:lang w:val="it-IT"/>
        </w:rPr>
      </w:pPr>
      <w:r w:rsidRPr="0004346C">
        <w:rPr>
          <w:rFonts w:asciiTheme="minorHAnsi" w:hAnsiTheme="minorHAnsi"/>
          <w:bCs w:val="0"/>
          <w:lang w:val="it-IT"/>
        </w:rPr>
        <w:t>5. Atribuţii corespunzătoare postului</w:t>
      </w:r>
    </w:p>
    <w:p w:rsidR="0004346C" w:rsidRPr="0004346C" w:rsidRDefault="0004346C" w:rsidP="0004346C">
      <w:pPr>
        <w:pStyle w:val="BodyText"/>
        <w:jc w:val="both"/>
        <w:rPr>
          <w:rFonts w:asciiTheme="minorHAnsi" w:hAnsiTheme="minorHAnsi"/>
          <w:b/>
          <w:bCs/>
        </w:rPr>
      </w:pPr>
      <w:r w:rsidRPr="0004346C">
        <w:rPr>
          <w:rFonts w:asciiTheme="minorHAnsi" w:hAnsiTheme="minorHAnsi"/>
          <w:b/>
          <w:bCs/>
        </w:rPr>
        <w:t xml:space="preserve">5.1. Atribuţii generale 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pacing w:val="-3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</w:rPr>
        <w:t xml:space="preserve">Să respecte cu stricteţe programul de lucru şi folosirea integrală şi </w:t>
      </w:r>
      <w:r w:rsidRPr="0004346C">
        <w:rPr>
          <w:rFonts w:asciiTheme="minorHAnsi" w:hAnsiTheme="minorHAnsi"/>
          <w:sz w:val="20"/>
          <w:szCs w:val="20"/>
          <w:lang w:val="pt-BR"/>
        </w:rPr>
        <w:t xml:space="preserve">eficientă a </w:t>
      </w:r>
      <w:r w:rsidRPr="0004346C">
        <w:rPr>
          <w:rFonts w:asciiTheme="minorHAnsi" w:hAnsiTheme="minorHAnsi"/>
          <w:spacing w:val="-3"/>
          <w:sz w:val="20"/>
          <w:szCs w:val="20"/>
          <w:lang w:val="pt-BR"/>
        </w:rPr>
        <w:t>timpului de lucru.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pacing w:val="-5"/>
          <w:sz w:val="20"/>
          <w:szCs w:val="20"/>
          <w:lang w:val="pt-BR"/>
        </w:rPr>
      </w:pPr>
      <w:r w:rsidRPr="0004346C">
        <w:rPr>
          <w:rFonts w:asciiTheme="minorHAnsi" w:hAnsiTheme="minorHAnsi"/>
          <w:spacing w:val="1"/>
          <w:sz w:val="20"/>
          <w:szCs w:val="20"/>
          <w:lang w:val="pt-BR"/>
        </w:rPr>
        <w:t xml:space="preserve">Să respecte normele şi instrucţiunile referitoare la desfăşurarea relaţiilor de </w:t>
      </w:r>
      <w:r w:rsidRPr="0004346C">
        <w:rPr>
          <w:rFonts w:asciiTheme="minorHAnsi" w:hAnsiTheme="minorHAnsi"/>
          <w:spacing w:val="-5"/>
          <w:sz w:val="20"/>
          <w:szCs w:val="20"/>
          <w:lang w:val="pt-BR"/>
        </w:rPr>
        <w:t>muncă.</w:t>
      </w:r>
    </w:p>
    <w:p w:rsidR="0004346C" w:rsidRPr="0004346C" w:rsidRDefault="0004346C" w:rsidP="0004346C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pacing w:val="-2"/>
          <w:sz w:val="20"/>
          <w:szCs w:val="20"/>
          <w:lang w:val="pt-BR"/>
        </w:rPr>
        <w:t>Să respecte prevederile Regulamentului de Organizare şi Funcţionare, a Regulamentului Intern şi a contractului  individual de muncă.</w:t>
      </w:r>
    </w:p>
    <w:p w:rsidR="0004346C" w:rsidRPr="0004346C" w:rsidRDefault="0004346C" w:rsidP="0004346C">
      <w:pPr>
        <w:suppressAutoHyphens/>
        <w:rPr>
          <w:rFonts w:asciiTheme="minorHAnsi" w:hAnsiTheme="minorHAnsi"/>
          <w:sz w:val="20"/>
          <w:szCs w:val="20"/>
          <w:lang w:val="pt-BR"/>
        </w:rPr>
      </w:pPr>
    </w:p>
    <w:p w:rsidR="0004346C" w:rsidRPr="0004346C" w:rsidRDefault="0004346C" w:rsidP="0004346C">
      <w:pPr>
        <w:jc w:val="both"/>
        <w:rPr>
          <w:rFonts w:asciiTheme="minorHAnsi" w:hAnsiTheme="minorHAnsi"/>
          <w:b/>
          <w:bCs/>
          <w:lang w:val="pt-BR"/>
        </w:rPr>
      </w:pPr>
      <w:r w:rsidRPr="0004346C">
        <w:rPr>
          <w:rFonts w:asciiTheme="minorHAnsi" w:hAnsiTheme="minorHAnsi"/>
          <w:b/>
          <w:bCs/>
          <w:lang w:val="pt-BR"/>
        </w:rPr>
        <w:t>5.2. Atribuţii specifice postului (Sarcini de serviciu)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pt-BR"/>
        </w:rPr>
      </w:pPr>
      <w:r w:rsidRPr="0004346C">
        <w:rPr>
          <w:rFonts w:asciiTheme="minorHAnsi" w:hAnsiTheme="minorHAnsi"/>
          <w:b/>
          <w:i/>
          <w:sz w:val="20"/>
          <w:szCs w:val="20"/>
          <w:lang w:val="pt-BR"/>
        </w:rPr>
        <w:t>A. Activităţi normate în statul de funcţiuni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A.I. Activităţi de predare, inclusiv pregătirea acestora;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1. Cursuri aferente ciclului de studii universitare de licenţă;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2. Cursuri aferente ciclului de studii universitare de master;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3. Cursuri la forma studii academice postuniversitare;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4. Cursuri la forma studii postuniversitare de specializare, inclusiv cursuri de pregătire pentru examenele de definitivat sau dobândirea de grad didactic, organizate pentru profesorii din licee, gimnazii şi pentru institutori;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5. Module de curs  pentru formarea continuă;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6. Cursuri (prelegeri) pentru medicii stagiari sau rezidenţi: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7. Cursuri de reactualizare a cuno</w:t>
      </w:r>
      <w:r w:rsidRPr="0004346C">
        <w:rPr>
          <w:rFonts w:asciiTheme="minorHAnsi" w:hAnsiTheme="minorHAnsi"/>
          <w:sz w:val="20"/>
          <w:szCs w:val="20"/>
        </w:rPr>
        <w:t>ş</w:t>
      </w:r>
      <w:r w:rsidRPr="0004346C">
        <w:rPr>
          <w:rFonts w:asciiTheme="minorHAnsi" w:hAnsiTheme="minorHAnsi"/>
          <w:sz w:val="20"/>
          <w:szCs w:val="20"/>
          <w:lang w:val="it-IT"/>
        </w:rPr>
        <w:t>tinţelor medicale (forma de pregătire medicală continuă inclusă în perfecţionarea postuniversitară specifică);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8. Cursuri organizate pentru pregătirea doctoranzilor;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9. Alte cursuri (prelegeri) normate la forme moderne de învăţământ universitar.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A.II. Activităţi de seminar, proiecte de an, lucrări practice şi de laborator (inclusiv pregătirea acestora);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1. Activităţi de seminar, complementare sau nu cursurile enumerate la capitolul A.I., după caz, conform planului de învăţământ;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2. Îndrumarea realizării proiectelor de an, complementare sau nu cursurilor enumerate la capitolul A.I., după caz, conform planului de învăţământ;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 xml:space="preserve">3. Lucrări practice şi de laborator, conform cu planul de învăţământ, complementare sau nu cursurilor de la capitolul A.I.; 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4. Lucrări practice (activităţi clinice in cadrul stagiaturii sau al rezidenţiatului) în învăţământul medical:</w:t>
      </w:r>
    </w:p>
    <w:p w:rsidR="0004346C" w:rsidRPr="0004346C" w:rsidRDefault="0004346C" w:rsidP="0004346C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prezentare de caz;</w:t>
      </w:r>
    </w:p>
    <w:p w:rsidR="0004346C" w:rsidRPr="0004346C" w:rsidRDefault="0004346C" w:rsidP="0004346C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prezentare de proceduri;</w:t>
      </w:r>
    </w:p>
    <w:p w:rsidR="0004346C" w:rsidRPr="0004346C" w:rsidRDefault="0004346C" w:rsidP="0004346C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îndrumarea activităţii practice a rezidenţilor.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lastRenderedPageBreak/>
        <w:t>5. Lucrări practice în învăţământul postuniversitar medical uman cu taxă pentru dobândirea de competenţe suplimentare;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6. Lucrări practice la forma de pregătire continuă medicală (perfecţionare postuniversitară).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A.III. Îndrumarea (conducerea) proiectelor de finalizare a studiilor, a lucrărilor de licenţă şi de absolvire;</w:t>
      </w:r>
    </w:p>
    <w:p w:rsidR="0004346C" w:rsidRPr="0004346C" w:rsidRDefault="0004346C" w:rsidP="0004346C">
      <w:pPr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A.IV. Îndrumarea (conducerea) de proiecte de absolvire, de lucrări de disertaţie sau de absolvire pentru toate formele de pregătire postuniversitară, prevăzute în planul de învăţământ;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A.V. Activitate practică productivă şi practică pedagogică (inclusiv pregătirea acestora);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A.VI. Îndrumarea doctoranzilor în stagiu (activitate normată) şi în post-stagiu;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A.VII. Conducerea activităţilor didactice artistice sau sportive (inclusiv pregătirea acestora), unde este cazul;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1. Cursuri de turism pentru studenţi;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2. Cursuri sportive pentru studenţi sau copiii angajaţilor;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3. Gimnastică aerobică;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4. Antrenamente cu echipe reprezentative (atletism, jocuri sportive);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5. Îndrumarea loturilor sportive în timpul desfăşurării competiţiilor;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6. Organizarea de crosuri si alte manifestări sportive de interes universitar sau naţional;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7. Îndrumarea formaţiilor artistice de interes universitar;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8. Organizarea manifestărilor artistice.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A.VIII. Activităţi de evaluare;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1. Evaluarea în cadrul pregătirii prin doctorat: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concurs de admitere;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examen de doctorat;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susţinere publică teza de doctorat, inclusiv de evaluarea tezei;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evaluare referat de doctorat (prin participare la colectivul de catedra conform H.G. nr.681/2011).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2. Evaluare în cadrul concursurilor de admitere la toate formele de învăţământ (inclusiv postuniversitar, altele decât doctoratul):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elaborare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redactare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examinare orală;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corectură teze;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corectură teste;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supracorectură;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contestaţii;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concurs de admitere (organizare, modernizare);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t>- comisie supraveghere examen scris.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fr-FR"/>
        </w:rPr>
      </w:pPr>
      <w:r w:rsidRPr="0004346C">
        <w:rPr>
          <w:rFonts w:asciiTheme="minorHAnsi" w:hAnsiTheme="minorHAnsi"/>
          <w:sz w:val="20"/>
          <w:szCs w:val="20"/>
          <w:lang w:val="fr-FR"/>
        </w:rPr>
        <w:lastRenderedPageBreak/>
        <w:t>3. Evaluarea în cadrul activităţilor didactice directe la toate formele de învăţământ (curs, seminar, proiecte de an, proiecte (lucrări) de finalizare a studiilor, lucrări de  laborator) inclusiv: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evaluare şi notare tema de casă;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evaluare şi notare examene parţiale;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</w:rPr>
      </w:pPr>
      <w:r w:rsidRPr="0004346C">
        <w:rPr>
          <w:rFonts w:asciiTheme="minorHAnsi" w:hAnsiTheme="minorHAnsi"/>
          <w:sz w:val="20"/>
          <w:szCs w:val="20"/>
        </w:rPr>
        <w:t>- evaluare şi notare examen (test) final;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evaluare şi notare teme (probleme) rezolvate acasă.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4. Evaluare şi activităţi complementare în cadrul comisiilor de finalizare a studiilor universitare sau postuniversitare: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examinare şi notare;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corectură (supracorectură);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contestaţii.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5. Evaluare şi activităţi complementare pentru obţinerea diplomei de medic specialist, stomatolog specialist şi farmacist specialist, prin examinarea la probele teoretice şi la cele practice: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 elaborare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 xml:space="preserve">- comisie examinare şi notare; 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corectură (supracorectură);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contestaţii.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6. Evaluare şi activităţi complementare privind examinarea pentru dobândirea unei alte specialităţi (după promovarea examenului final de rezidenţiat) la probele teoretice şi la cele practice: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examinare şi notare;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7. Evaluare şi activităţi complementare corespunzătoare formelor de pregătire continuă medicală (perfecţionare postuniversitară):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programa analitică;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de evaluare.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8. Evaluare şi activităţi complementare în cadrul comisiilor pentru dobândirea de competenţe în învăţământul postuniversitar medical uman (cu taxă) din alte profile: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program</w:t>
      </w:r>
      <w:r w:rsidRPr="0004346C">
        <w:rPr>
          <w:rFonts w:asciiTheme="minorHAnsi" w:hAnsiTheme="minorHAnsi"/>
          <w:sz w:val="20"/>
          <w:szCs w:val="20"/>
        </w:rPr>
        <w:t>ă</w:t>
      </w:r>
      <w:r w:rsidRPr="0004346C">
        <w:rPr>
          <w:rFonts w:asciiTheme="minorHAnsi" w:hAnsiTheme="minorHAnsi"/>
          <w:sz w:val="20"/>
          <w:szCs w:val="20"/>
          <w:lang w:val="it-IT"/>
        </w:rPr>
        <w:t xml:space="preserve"> analitică,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lastRenderedPageBreak/>
        <w:t>- comisie redactare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9. Activităţi complementare şi evaluarea activităţii de instruire prin forme de pregătire continuă în alte profile decât cel medical: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programă analitică,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10. Evaluare şi activităţi complementare la admiterea la rezidenţiat şi la finalizarea acestuia: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programă analitică;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A.IX. Consultaţii;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Pentru toate formele  conexe cursurilor de la capitolul A.I.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A.X. Îndrumarea cercurilor ştiinţifice;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A.XI. Îndrumarea studenţilor (tutoriat) pentru alegerea rutei profesionale în cadrul sistemului de credite transferabile;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A.XII. Participarea la comisii şi consilii în interesul învăţământului;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04346C">
        <w:rPr>
          <w:rFonts w:asciiTheme="minorHAnsi" w:hAnsiTheme="minorHAnsi"/>
          <w:sz w:val="20"/>
          <w:szCs w:val="20"/>
          <w:lang w:val="pt-BR"/>
        </w:rPr>
        <w:t>A.XIII. Activităţi privind promovarea cadrelor didactice din învăţământul preuniversitar;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1. Definitivatul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programe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îndrumare şi consultanţă de specialitate şi pedagogică;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specialitate, metodică şi pedagogică;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subiectelor pentru probele scrise, supraveghere, corectare şi notare;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subiectelor pentru probele  orale, examinare şi notare (comisie);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organizare examen.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lastRenderedPageBreak/>
        <w:t>2. Gradul didactic II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programe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consultanţă şi îndrumare (minimum două inspecţii);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specialitate, metodică şi pedagogică;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subiectelor pentru testul de specialitate şi metodica specialităţii;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supraveghere teza, corectare şi notare;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subiectelor pentru proba orală, examinare şi notare.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3. Gradul didactic I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tematică, elaborare subiecte,  examinare si notare in cadrul colocviului de admitere;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îndrumare (minimum doua inspecţii);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 metodică şi pedagogică;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îndrumarea şi evaluarea lucrării metodico-ştiinţifice;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participare la comisia pentru susţinerea lucrării de grad (evaluare şi notare)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4. Concurs pentru ocuparea posturilor vacante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tematicii şi bibliografiei;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susţinere examen;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organizare concurs;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A.XIV. Activităţi privind pregătirea şi promovarea cadrelor didactice din învăţământul superior;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1. Concurs pentru ocuparea unui post de preparator universitar sau asistent universitar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îndrumare metodică şi ştiinţific</w:t>
      </w:r>
      <w:r w:rsidRPr="0004346C">
        <w:rPr>
          <w:rFonts w:asciiTheme="minorHAnsi" w:hAnsiTheme="minorHAnsi"/>
          <w:sz w:val="20"/>
          <w:szCs w:val="20"/>
        </w:rPr>
        <w:t>ă</w:t>
      </w:r>
      <w:r w:rsidRPr="0004346C">
        <w:rPr>
          <w:rFonts w:asciiTheme="minorHAnsi" w:hAnsiTheme="minorHAnsi"/>
          <w:sz w:val="20"/>
          <w:szCs w:val="20"/>
          <w:lang w:val="it-IT"/>
        </w:rPr>
        <w:t>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subiectelor pentru probele scrise, supraveghere teză, corectare şi notare;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elaborarea subiectelor pentru probele orale, examinare şi notare;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participare la proba practică şi evaluare.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2. Concurs pentru ocuparea unui post de lector universitar (şef de lucrări):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verificare dosar de concurs;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participare la prelegerea publică;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evaluare.</w:t>
      </w:r>
    </w:p>
    <w:p w:rsidR="0004346C" w:rsidRPr="0004346C" w:rsidRDefault="0004346C" w:rsidP="0004346C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3. Concurs pentru ocuparea unui post de conferenţiar universitar: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analiză dosar concurs;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stabilire temă prelegere;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participare la prelegerea publică;</w:t>
      </w:r>
    </w:p>
    <w:p w:rsidR="0004346C" w:rsidRPr="0004346C" w:rsidRDefault="0004346C" w:rsidP="0004346C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- evaluare.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04346C">
        <w:rPr>
          <w:rFonts w:asciiTheme="minorHAnsi" w:hAnsiTheme="minorHAnsi"/>
          <w:b/>
          <w:i/>
          <w:sz w:val="20"/>
          <w:szCs w:val="20"/>
          <w:lang w:val="it-IT"/>
        </w:rPr>
        <w:lastRenderedPageBreak/>
        <w:t>B. Activităţi de pregătire ştiinţifică şi metodică şi alte activităţi în interesul învăţământului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B.I. Pregătire individuală (autoperfecţionare);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B.II. Audierea unor cursuri sau parcurgerea unor module de curs. Parcurgerea completă a formelor postuniversitare de învăţământ în domeniul de activitate sau într-unul complementar;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B.III. Participarea la conferinţe, simpozioane, congrese ş.a., organizate în domeniul de activitate principal sau în domenii interdisciplinare;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B.IV. Organizarea de congrese ş.a., în domeniul de activitate sau în domenii colaterale (complementare);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B.V. Înfiinţarea, amenajarea şi modernizarea laboratoarelor, a staţiilor pilot, a centrelor de excelenţă (cercetare), a aparaturii de laboratoare, ş.a;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B.VI. Organizarea de schimburi academice între diferite universităţi din ţară şi din străinătate;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B.VII. Participarea la programele internaţionale la care România este parte;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B.VIII. Perfecţionarea propriei pregătiri pedagogice;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B.IX. Elaborarea de manuale, îndrumare, culegeri de probleme şi de teste şi a altor materiale didactice.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04346C">
        <w:rPr>
          <w:rFonts w:asciiTheme="minorHAnsi" w:hAnsiTheme="minorHAnsi"/>
          <w:b/>
          <w:i/>
          <w:sz w:val="20"/>
          <w:szCs w:val="20"/>
          <w:lang w:val="it-IT"/>
        </w:rPr>
        <w:t>C. Activităţi de cercetare ştiinţifică, de dezvoltare tehnologică, activităţi de proiectare, de creaţie artistică potrivit specificului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C.I. Activităţi prevăzute în planul intern;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C.II. Activităţi în cadrul centrelor de cercetare prevăzute în planul intern;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C.III. Activităţi în cadrul  centrelor de transfer tehnologic: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C.IV. Elaborarea individuală de inovare sau inventică prevăzute în planul intern;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04346C">
        <w:rPr>
          <w:rFonts w:asciiTheme="minorHAnsi" w:hAnsiTheme="minorHAnsi"/>
          <w:sz w:val="20"/>
          <w:szCs w:val="20"/>
          <w:lang w:val="it-IT"/>
        </w:rPr>
        <w:t>C.V. Elaborarea tratatelor, a monografiilor si  a cărţilor de specialitate prevăzute în planul intern.</w:t>
      </w:r>
    </w:p>
    <w:p w:rsidR="0004346C" w:rsidRPr="0004346C" w:rsidRDefault="0004346C" w:rsidP="0004346C">
      <w:pPr>
        <w:spacing w:after="120"/>
        <w:ind w:left="5760" w:firstLine="720"/>
        <w:jc w:val="both"/>
        <w:rPr>
          <w:rFonts w:asciiTheme="minorHAnsi" w:hAnsiTheme="minorHAnsi"/>
          <w:bCs/>
        </w:rPr>
      </w:pPr>
    </w:p>
    <w:p w:rsidR="0004346C" w:rsidRPr="0004346C" w:rsidRDefault="0004346C" w:rsidP="0004346C">
      <w:pPr>
        <w:spacing w:after="120"/>
        <w:ind w:left="5760" w:firstLine="720"/>
        <w:jc w:val="both"/>
        <w:rPr>
          <w:rFonts w:asciiTheme="minorHAnsi" w:hAnsiTheme="minorHAnsi"/>
          <w:bCs/>
        </w:rPr>
      </w:pPr>
      <w:r w:rsidRPr="0004346C">
        <w:rPr>
          <w:rFonts w:asciiTheme="minorHAnsi" w:hAnsiTheme="minorHAnsi"/>
          <w:bCs/>
        </w:rPr>
        <w:t xml:space="preserve">Data ______________   </w:t>
      </w:r>
    </w:p>
    <w:p w:rsidR="0004346C" w:rsidRPr="0004346C" w:rsidRDefault="0004346C" w:rsidP="0004346C">
      <w:pPr>
        <w:spacing w:after="120"/>
        <w:ind w:left="5760" w:firstLine="720"/>
        <w:jc w:val="both"/>
        <w:rPr>
          <w:rFonts w:asciiTheme="minorHAnsi" w:hAnsiTheme="minorHAnsi"/>
          <w:lang w:val="pt-BR"/>
        </w:rPr>
      </w:pPr>
    </w:p>
    <w:p w:rsidR="0004346C" w:rsidRPr="0004346C" w:rsidRDefault="0004346C" w:rsidP="0004346C">
      <w:pPr>
        <w:spacing w:after="120"/>
        <w:ind w:left="5760" w:firstLine="720"/>
        <w:jc w:val="both"/>
        <w:rPr>
          <w:rFonts w:asciiTheme="minorHAnsi" w:hAnsiTheme="minorHAnsi"/>
          <w:lang w:val="pt-BR"/>
        </w:rPr>
      </w:pP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lang w:val="pt-BR"/>
        </w:rPr>
      </w:pP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</w:rPr>
        <w:t>Şef disciplină</w:t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  <w:t xml:space="preserve">              Salariat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lang w:val="pt-BR"/>
        </w:rPr>
      </w:pP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  <w:lang w:val="pt-BR"/>
        </w:rPr>
        <w:t>________________________</w:t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  <w:t xml:space="preserve">         ________________________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  <w:lang w:val="pt-BR"/>
        </w:rPr>
      </w:pP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  <w:lang w:val="pt-BR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</w:rPr>
      </w:pP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  <w:t>Decan</w:t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  <w:t xml:space="preserve">     Director departament</w:t>
      </w:r>
    </w:p>
    <w:p w:rsidR="0004346C" w:rsidRPr="0004346C" w:rsidRDefault="0004346C" w:rsidP="0004346C">
      <w:pPr>
        <w:spacing w:after="120"/>
        <w:jc w:val="both"/>
        <w:rPr>
          <w:rFonts w:asciiTheme="minorHAnsi" w:hAnsiTheme="minorHAnsi"/>
        </w:rPr>
      </w:pPr>
      <w:r w:rsidRPr="0004346C">
        <w:rPr>
          <w:rFonts w:asciiTheme="minorHAnsi" w:hAnsiTheme="minorHAnsi"/>
        </w:rPr>
        <w:t xml:space="preserve">          _________________________</w:t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</w:r>
      <w:r w:rsidRPr="0004346C">
        <w:rPr>
          <w:rFonts w:asciiTheme="minorHAnsi" w:hAnsiTheme="minorHAnsi"/>
        </w:rPr>
        <w:tab/>
        <w:t>_________________________</w:t>
      </w:r>
    </w:p>
    <w:p w:rsidR="0004346C" w:rsidRPr="0004346C" w:rsidRDefault="0004346C" w:rsidP="0004346C">
      <w:pPr>
        <w:ind w:left="5040" w:firstLine="720"/>
        <w:jc w:val="both"/>
        <w:rPr>
          <w:rFonts w:asciiTheme="minorHAnsi" w:hAnsiTheme="minorHAnsi" w:cs="Arial"/>
          <w:b/>
          <w:sz w:val="20"/>
          <w:szCs w:val="20"/>
        </w:rPr>
      </w:pPr>
    </w:p>
    <w:p w:rsidR="0004346C" w:rsidRPr="0004346C" w:rsidRDefault="0004346C" w:rsidP="0004346C">
      <w:pPr>
        <w:ind w:left="5040" w:firstLine="720"/>
        <w:jc w:val="both"/>
        <w:rPr>
          <w:rFonts w:asciiTheme="minorHAnsi" w:hAnsiTheme="minorHAnsi" w:cs="Arial"/>
          <w:b/>
          <w:sz w:val="20"/>
          <w:szCs w:val="20"/>
        </w:rPr>
      </w:pPr>
    </w:p>
    <w:p w:rsidR="0004346C" w:rsidRPr="0004346C" w:rsidRDefault="0004346C" w:rsidP="0004346C">
      <w:pPr>
        <w:rPr>
          <w:rFonts w:asciiTheme="minorHAnsi" w:hAnsiTheme="minorHAnsi"/>
        </w:rPr>
      </w:pPr>
    </w:p>
    <w:sectPr w:rsidR="0004346C" w:rsidRPr="0004346C" w:rsidSect="002B13FB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2D5" w:rsidRDefault="00FD62D5" w:rsidP="00A07016">
      <w:pPr>
        <w:spacing w:after="0" w:line="240" w:lineRule="auto"/>
      </w:pPr>
      <w:r>
        <w:separator/>
      </w:r>
    </w:p>
  </w:endnote>
  <w:endnote w:type="continuationSeparator" w:id="0">
    <w:p w:rsidR="00FD62D5" w:rsidRDefault="00FD62D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9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ABA" w:rsidRDefault="00C30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E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1D93" w:rsidRDefault="00FD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2D5" w:rsidRDefault="00FD62D5" w:rsidP="00A07016">
      <w:pPr>
        <w:spacing w:after="0" w:line="240" w:lineRule="auto"/>
      </w:pPr>
      <w:r>
        <w:separator/>
      </w:r>
    </w:p>
  </w:footnote>
  <w:footnote w:type="continuationSeparator" w:id="0">
    <w:p w:rsidR="00FD62D5" w:rsidRDefault="00FD62D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E32E4A" w:rsidRDefault="00E32E4A" w:rsidP="00E32E4A">
    <w:pPr>
      <w:rPr>
        <w:rFonts w:asciiTheme="minorHAnsi" w:hAnsiTheme="minorHAnsi"/>
      </w:rPr>
    </w:pPr>
    <w:r>
      <w:rPr>
        <w:noProof/>
      </w:rPr>
      <w:drawing>
        <wp:inline distT="0" distB="0" distL="0" distR="0" wp14:anchorId="5266B469" wp14:editId="492405BF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 w:rsidR="000E1232">
      <w:rPr>
        <w:rFonts w:asciiTheme="minorHAnsi" w:hAnsiTheme="minorHAnsi" w:cs="Arial"/>
      </w:rPr>
      <w:t>UMFST-PO-RU-23</w:t>
    </w:r>
    <w:r w:rsidR="000E1232" w:rsidRPr="0004346C">
      <w:rPr>
        <w:rFonts w:asciiTheme="minorHAnsi" w:hAnsiTheme="minorHAnsi" w:cs="Arial"/>
      </w:rPr>
      <w:t>-F02-Ed.01-Rev.2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57B66BC"/>
    <w:multiLevelType w:val="hybridMultilevel"/>
    <w:tmpl w:val="4BFA2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A2E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C330A"/>
    <w:multiLevelType w:val="hybridMultilevel"/>
    <w:tmpl w:val="44A62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93254"/>
    <w:multiLevelType w:val="multilevel"/>
    <w:tmpl w:val="08AE5B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15884"/>
    <w:multiLevelType w:val="multilevel"/>
    <w:tmpl w:val="1E56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C5E20"/>
    <w:multiLevelType w:val="hybridMultilevel"/>
    <w:tmpl w:val="5FCA5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56D5D"/>
    <w:multiLevelType w:val="hybridMultilevel"/>
    <w:tmpl w:val="CFDA6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7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8"/>
  </w:num>
  <w:num w:numId="5">
    <w:abstractNumId w:val="22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6"/>
  </w:num>
  <w:num w:numId="11">
    <w:abstractNumId w:val="21"/>
  </w:num>
  <w:num w:numId="12">
    <w:abstractNumId w:val="29"/>
  </w:num>
  <w:num w:numId="13">
    <w:abstractNumId w:val="6"/>
  </w:num>
  <w:num w:numId="14">
    <w:abstractNumId w:val="7"/>
  </w:num>
  <w:num w:numId="15">
    <w:abstractNumId w:val="19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0"/>
  </w:num>
  <w:num w:numId="25">
    <w:abstractNumId w:val="12"/>
  </w:num>
  <w:num w:numId="26">
    <w:abstractNumId w:val="20"/>
  </w:num>
  <w:num w:numId="27">
    <w:abstractNumId w:val="1"/>
  </w:num>
  <w:num w:numId="28">
    <w:abstractNumId w:val="10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4346C"/>
    <w:rsid w:val="00062BDF"/>
    <w:rsid w:val="000A4C92"/>
    <w:rsid w:val="000C287D"/>
    <w:rsid w:val="000E1232"/>
    <w:rsid w:val="000E58BE"/>
    <w:rsid w:val="001101ED"/>
    <w:rsid w:val="00114B96"/>
    <w:rsid w:val="00191234"/>
    <w:rsid w:val="001A37A2"/>
    <w:rsid w:val="00297482"/>
    <w:rsid w:val="002B13FB"/>
    <w:rsid w:val="00310EE1"/>
    <w:rsid w:val="0037244D"/>
    <w:rsid w:val="003864FE"/>
    <w:rsid w:val="003B7070"/>
    <w:rsid w:val="003E01B9"/>
    <w:rsid w:val="00407A82"/>
    <w:rsid w:val="004162E9"/>
    <w:rsid w:val="00466D96"/>
    <w:rsid w:val="0048581F"/>
    <w:rsid w:val="00487B48"/>
    <w:rsid w:val="004A1FF2"/>
    <w:rsid w:val="004E2280"/>
    <w:rsid w:val="0051109D"/>
    <w:rsid w:val="00547C2B"/>
    <w:rsid w:val="00603B5D"/>
    <w:rsid w:val="006375E7"/>
    <w:rsid w:val="006401B9"/>
    <w:rsid w:val="00640B9B"/>
    <w:rsid w:val="00671CBD"/>
    <w:rsid w:val="006E177C"/>
    <w:rsid w:val="006F403E"/>
    <w:rsid w:val="00711C35"/>
    <w:rsid w:val="007450ED"/>
    <w:rsid w:val="007626D1"/>
    <w:rsid w:val="0079172C"/>
    <w:rsid w:val="007E7CC7"/>
    <w:rsid w:val="008658F7"/>
    <w:rsid w:val="00880CC5"/>
    <w:rsid w:val="008B2E45"/>
    <w:rsid w:val="008E0883"/>
    <w:rsid w:val="008F0A7F"/>
    <w:rsid w:val="008F5038"/>
    <w:rsid w:val="00924633"/>
    <w:rsid w:val="00942D14"/>
    <w:rsid w:val="00944B78"/>
    <w:rsid w:val="00950772"/>
    <w:rsid w:val="00973405"/>
    <w:rsid w:val="009C317C"/>
    <w:rsid w:val="009D338B"/>
    <w:rsid w:val="00A07016"/>
    <w:rsid w:val="00A25340"/>
    <w:rsid w:val="00A46E78"/>
    <w:rsid w:val="00A641AC"/>
    <w:rsid w:val="00A73C66"/>
    <w:rsid w:val="00A973B6"/>
    <w:rsid w:val="00AA28AA"/>
    <w:rsid w:val="00B01EB6"/>
    <w:rsid w:val="00B5062B"/>
    <w:rsid w:val="00B904C3"/>
    <w:rsid w:val="00BA0E5A"/>
    <w:rsid w:val="00BF7394"/>
    <w:rsid w:val="00C30ABA"/>
    <w:rsid w:val="00C85AD5"/>
    <w:rsid w:val="00CE6126"/>
    <w:rsid w:val="00D41FCC"/>
    <w:rsid w:val="00D67ABE"/>
    <w:rsid w:val="00D8197A"/>
    <w:rsid w:val="00DD5500"/>
    <w:rsid w:val="00E32E4A"/>
    <w:rsid w:val="00E339AE"/>
    <w:rsid w:val="00E75032"/>
    <w:rsid w:val="00EF7F1E"/>
    <w:rsid w:val="00F3186C"/>
    <w:rsid w:val="00FB529D"/>
    <w:rsid w:val="00FC5472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6396F"/>
  <w15:docId w15:val="{24E9FB7A-DFD0-4432-AE71-08DB6F0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0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070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3097444-03D9-4AF2-A857-FCB134C1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14</cp:revision>
  <dcterms:created xsi:type="dcterms:W3CDTF">2013-07-10T09:17:00Z</dcterms:created>
  <dcterms:modified xsi:type="dcterms:W3CDTF">2021-05-14T10:06:00Z</dcterms:modified>
</cp:coreProperties>
</file>