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A7" w:rsidRPr="00F02FCC" w:rsidRDefault="005D312C">
      <w:pPr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University of Medicine and Pharmacy of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Tîrgu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Mureş</w:t>
      </w:r>
      <w:proofErr w:type="spellEnd"/>
    </w:p>
    <w:p w:rsidR="005D312C" w:rsidRPr="00F02FCC" w:rsidRDefault="005D312C">
      <w:pPr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>Doctoral School</w:t>
      </w:r>
    </w:p>
    <w:p w:rsidR="005D312C" w:rsidRPr="00F02FCC" w:rsidRDefault="005D312C">
      <w:pPr>
        <w:rPr>
          <w:rFonts w:asciiTheme="majorHAnsi" w:hAnsiTheme="majorHAnsi"/>
          <w:sz w:val="20"/>
          <w:szCs w:val="20"/>
          <w:lang w:val="en-GB"/>
        </w:rPr>
      </w:pPr>
    </w:p>
    <w:p w:rsidR="005D312C" w:rsidRPr="00F02FCC" w:rsidRDefault="005D312C" w:rsidP="005D312C">
      <w:pPr>
        <w:jc w:val="center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>PhD Thesis Abstr</w:t>
      </w:r>
      <w:r w:rsidR="006645C1" w:rsidRPr="00F02FCC">
        <w:rPr>
          <w:rFonts w:asciiTheme="majorHAnsi" w:hAnsiTheme="majorHAnsi"/>
          <w:sz w:val="20"/>
          <w:szCs w:val="20"/>
          <w:lang w:val="en-GB"/>
        </w:rPr>
        <w:t>a</w:t>
      </w:r>
      <w:r w:rsidRPr="00F02FCC">
        <w:rPr>
          <w:rFonts w:asciiTheme="majorHAnsi" w:hAnsiTheme="majorHAnsi"/>
          <w:sz w:val="20"/>
          <w:szCs w:val="20"/>
          <w:lang w:val="en-GB"/>
        </w:rPr>
        <w:t>ct</w:t>
      </w:r>
    </w:p>
    <w:p w:rsidR="00A7464D" w:rsidRPr="00F02FCC" w:rsidRDefault="006645C1" w:rsidP="005D312C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Bone </w:t>
      </w:r>
      <w:r w:rsidR="003961D3" w:rsidRPr="00F02FCC">
        <w:rPr>
          <w:rFonts w:asciiTheme="majorHAnsi" w:hAnsiTheme="majorHAnsi"/>
          <w:b/>
          <w:sz w:val="20"/>
          <w:szCs w:val="20"/>
          <w:lang w:val="en-GB"/>
        </w:rPr>
        <w:t>Remodelling</w:t>
      </w: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Under </w:t>
      </w:r>
      <w:r w:rsidR="00F233A8" w:rsidRPr="00F02FCC">
        <w:rPr>
          <w:rFonts w:asciiTheme="majorHAnsi" w:hAnsiTheme="majorHAnsi"/>
          <w:b/>
          <w:sz w:val="20"/>
          <w:szCs w:val="20"/>
          <w:lang w:val="en-GB"/>
        </w:rPr>
        <w:t>Clinical</w:t>
      </w: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and </w:t>
      </w:r>
      <w:r w:rsidR="00F233A8" w:rsidRPr="00F02FCC">
        <w:rPr>
          <w:rFonts w:asciiTheme="majorHAnsi" w:hAnsiTheme="majorHAnsi"/>
          <w:b/>
          <w:sz w:val="20"/>
          <w:szCs w:val="20"/>
          <w:lang w:val="en-GB"/>
        </w:rPr>
        <w:t>Experimental</w:t>
      </w: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Conditions</w:t>
      </w:r>
    </w:p>
    <w:p w:rsidR="00A7464D" w:rsidRPr="00F02FCC" w:rsidRDefault="00A7464D" w:rsidP="005D312C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</w:p>
    <w:p w:rsidR="00A7464D" w:rsidRPr="00F02FCC" w:rsidRDefault="00A7464D" w:rsidP="00A7464D">
      <w:pPr>
        <w:jc w:val="both"/>
        <w:rPr>
          <w:rFonts w:asciiTheme="majorHAnsi" w:hAnsiTheme="majorHAnsi"/>
          <w:b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ab/>
        <w:t xml:space="preserve">PhD Candidate: </w:t>
      </w:r>
      <w:r w:rsidRPr="00F02FCC">
        <w:rPr>
          <w:rFonts w:asciiTheme="majorHAnsi" w:hAnsiTheme="majorHAnsi"/>
          <w:sz w:val="20"/>
          <w:szCs w:val="20"/>
          <w:lang w:val="en-GB"/>
        </w:rPr>
        <w:tab/>
      </w:r>
      <w:proofErr w:type="spellStart"/>
      <w:r w:rsidRPr="00F02FCC">
        <w:rPr>
          <w:rFonts w:asciiTheme="majorHAnsi" w:hAnsiTheme="majorHAnsi"/>
          <w:b/>
          <w:sz w:val="20"/>
          <w:szCs w:val="20"/>
          <w:lang w:val="en-GB"/>
        </w:rPr>
        <w:t>Şipos</w:t>
      </w:r>
      <w:proofErr w:type="spellEnd"/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proofErr w:type="spellStart"/>
      <w:r w:rsidRPr="00F02FCC">
        <w:rPr>
          <w:rFonts w:asciiTheme="majorHAnsi" w:hAnsiTheme="majorHAnsi"/>
          <w:b/>
          <w:sz w:val="20"/>
          <w:szCs w:val="20"/>
          <w:lang w:val="en-GB"/>
        </w:rPr>
        <w:t>Remus</w:t>
      </w:r>
      <w:proofErr w:type="spellEnd"/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Sebastian</w:t>
      </w:r>
    </w:p>
    <w:p w:rsidR="00A7464D" w:rsidRPr="00F02FCC" w:rsidRDefault="00A7464D" w:rsidP="00A7464D">
      <w:pPr>
        <w:ind w:firstLine="720"/>
        <w:jc w:val="both"/>
        <w:rPr>
          <w:rFonts w:asciiTheme="majorHAnsi" w:hAnsiTheme="majorHAnsi"/>
          <w:b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Scientific Supervisor: </w:t>
      </w: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Prof. Dr. </w:t>
      </w:r>
      <w:proofErr w:type="spellStart"/>
      <w:r w:rsidRPr="00F02FCC">
        <w:rPr>
          <w:rFonts w:asciiTheme="majorHAnsi" w:hAnsiTheme="majorHAnsi"/>
          <w:b/>
          <w:sz w:val="20"/>
          <w:szCs w:val="20"/>
          <w:lang w:val="en-GB"/>
        </w:rPr>
        <w:t>Pávai</w:t>
      </w:r>
      <w:proofErr w:type="spellEnd"/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proofErr w:type="spellStart"/>
      <w:r w:rsidRPr="00F02FCC">
        <w:rPr>
          <w:rFonts w:asciiTheme="majorHAnsi" w:hAnsiTheme="majorHAnsi"/>
          <w:b/>
          <w:sz w:val="20"/>
          <w:szCs w:val="20"/>
          <w:lang w:val="en-GB"/>
        </w:rPr>
        <w:t>Zoltán</w:t>
      </w:r>
      <w:proofErr w:type="spellEnd"/>
    </w:p>
    <w:p w:rsidR="00A7464D" w:rsidRPr="00F02FCC" w:rsidRDefault="00A7464D" w:rsidP="00A7464D">
      <w:pPr>
        <w:jc w:val="both"/>
        <w:rPr>
          <w:rFonts w:asciiTheme="majorHAnsi" w:hAnsiTheme="majorHAnsi"/>
          <w:bCs/>
          <w:sz w:val="20"/>
          <w:szCs w:val="20"/>
          <w:lang w:val="en-GB"/>
        </w:rPr>
      </w:pPr>
      <w:r w:rsidRPr="00F02FCC">
        <w:rPr>
          <w:rFonts w:asciiTheme="majorHAnsi" w:hAnsiTheme="majorHAnsi"/>
          <w:b/>
          <w:sz w:val="20"/>
          <w:szCs w:val="20"/>
          <w:lang w:val="en-GB"/>
        </w:rPr>
        <w:tab/>
      </w:r>
      <w:r w:rsidR="005519D9">
        <w:rPr>
          <w:rFonts w:asciiTheme="majorHAnsi" w:hAnsiTheme="majorHAnsi"/>
          <w:bCs/>
          <w:sz w:val="20"/>
          <w:szCs w:val="20"/>
          <w:lang w:val="en-GB"/>
        </w:rPr>
        <w:t>Th</w:t>
      </w:r>
      <w:r w:rsidR="00F50376">
        <w:rPr>
          <w:rFonts w:asciiTheme="majorHAnsi" w:hAnsiTheme="majorHAnsi"/>
          <w:bCs/>
          <w:sz w:val="20"/>
          <w:szCs w:val="20"/>
          <w:lang w:val="en-GB"/>
        </w:rPr>
        <w:t>e object of th</w:t>
      </w:r>
      <w:r w:rsidR="00626270">
        <w:rPr>
          <w:rFonts w:asciiTheme="majorHAnsi" w:hAnsiTheme="majorHAnsi"/>
          <w:bCs/>
          <w:sz w:val="20"/>
          <w:szCs w:val="20"/>
          <w:lang w:val="en-GB"/>
        </w:rPr>
        <w:t>e</w:t>
      </w:r>
      <w:r w:rsidR="005519D9">
        <w:rPr>
          <w:rFonts w:asciiTheme="majorHAnsi" w:hAnsiTheme="majorHAnsi"/>
          <w:bCs/>
          <w:sz w:val="20"/>
          <w:szCs w:val="20"/>
          <w:lang w:val="en-GB"/>
        </w:rPr>
        <w:t xml:space="preserve"> thesis </w:t>
      </w:r>
      <w:r w:rsidR="001604B8">
        <w:rPr>
          <w:rFonts w:asciiTheme="majorHAnsi" w:hAnsiTheme="majorHAnsi"/>
          <w:bCs/>
          <w:sz w:val="20"/>
          <w:szCs w:val="20"/>
          <w:lang w:val="en-GB"/>
        </w:rPr>
        <w:t>centres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 on two chronic diseases, osteoporosis and </w:t>
      </w:r>
      <w:proofErr w:type="spellStart"/>
      <w:r w:rsidR="003961D3" w:rsidRPr="00F02FCC">
        <w:rPr>
          <w:rFonts w:asciiTheme="majorHAnsi" w:hAnsiTheme="majorHAnsi"/>
          <w:bCs/>
          <w:sz w:val="20"/>
          <w:szCs w:val="20"/>
          <w:lang w:val="en-GB"/>
        </w:rPr>
        <w:t>dyslipidaemia</w:t>
      </w:r>
      <w:proofErr w:type="spellEnd"/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, </w:t>
      </w:r>
      <w:r w:rsidR="00411726">
        <w:rPr>
          <w:rFonts w:asciiTheme="majorHAnsi" w:hAnsiTheme="majorHAnsi"/>
          <w:bCs/>
          <w:sz w:val="20"/>
          <w:szCs w:val="20"/>
          <w:lang w:val="en-GB"/>
        </w:rPr>
        <w:t>both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 </w:t>
      </w:r>
      <w:r w:rsidR="00251B55">
        <w:rPr>
          <w:rFonts w:asciiTheme="majorHAnsi" w:hAnsiTheme="majorHAnsi"/>
          <w:bCs/>
          <w:sz w:val="20"/>
          <w:szCs w:val="20"/>
          <w:lang w:val="en-GB"/>
        </w:rPr>
        <w:t>represent</w:t>
      </w:r>
      <w:r w:rsidR="00411726">
        <w:rPr>
          <w:rFonts w:asciiTheme="majorHAnsi" w:hAnsiTheme="majorHAnsi"/>
          <w:bCs/>
          <w:sz w:val="20"/>
          <w:szCs w:val="20"/>
          <w:lang w:val="en-GB"/>
        </w:rPr>
        <w:t>ing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 a public health issue on account of the</w:t>
      </w:r>
      <w:r w:rsidR="000032E9">
        <w:rPr>
          <w:rFonts w:asciiTheme="majorHAnsi" w:hAnsiTheme="majorHAnsi"/>
          <w:bCs/>
          <w:sz w:val="20"/>
          <w:szCs w:val="20"/>
          <w:lang w:val="en-GB"/>
        </w:rPr>
        <w:t>ir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 significant morbidity and the </w:t>
      </w:r>
      <w:r w:rsidR="00300C37">
        <w:rPr>
          <w:rFonts w:asciiTheme="majorHAnsi" w:hAnsiTheme="majorHAnsi"/>
          <w:bCs/>
          <w:sz w:val="20"/>
          <w:szCs w:val="20"/>
          <w:lang w:val="en-GB"/>
        </w:rPr>
        <w:t xml:space="preserve">financial 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costs </w:t>
      </w:r>
      <w:r w:rsidR="00955DE3" w:rsidRPr="00F02FCC">
        <w:rPr>
          <w:rFonts w:asciiTheme="majorHAnsi" w:hAnsiTheme="majorHAnsi"/>
          <w:bCs/>
          <w:sz w:val="20"/>
          <w:szCs w:val="20"/>
          <w:lang w:val="en-GB"/>
        </w:rPr>
        <w:t>related to</w:t>
      </w:r>
      <w:r w:rsidR="00FD2384" w:rsidRPr="00F02FCC">
        <w:rPr>
          <w:rFonts w:asciiTheme="majorHAnsi" w:hAnsiTheme="majorHAnsi"/>
          <w:bCs/>
          <w:sz w:val="20"/>
          <w:szCs w:val="20"/>
          <w:lang w:val="en-GB"/>
        </w:rPr>
        <w:t xml:space="preserve"> their complications</w:t>
      </w:r>
      <w:r w:rsidRPr="00F02FCC">
        <w:rPr>
          <w:rFonts w:asciiTheme="majorHAnsi" w:hAnsiTheme="majorHAnsi"/>
          <w:bCs/>
          <w:sz w:val="20"/>
          <w:szCs w:val="20"/>
          <w:lang w:val="en-GB"/>
        </w:rPr>
        <w:t>.</w:t>
      </w:r>
    </w:p>
    <w:p w:rsidR="00A7464D" w:rsidRPr="00F02FCC" w:rsidRDefault="003961D3" w:rsidP="00A7464D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Dyslipidaemia</w:t>
      </w:r>
      <w:proofErr w:type="spellEnd"/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and osteoporosis are two of the </w:t>
      </w:r>
      <w:r w:rsidR="00F1383F">
        <w:rPr>
          <w:rFonts w:asciiTheme="majorHAnsi" w:hAnsiTheme="majorHAnsi"/>
          <w:sz w:val="20"/>
          <w:szCs w:val="20"/>
          <w:lang w:val="en-GB"/>
        </w:rPr>
        <w:t>conditions</w:t>
      </w:r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affecting </w:t>
      </w:r>
      <w:r w:rsidR="00364248">
        <w:rPr>
          <w:rFonts w:asciiTheme="majorHAnsi" w:hAnsiTheme="majorHAnsi"/>
          <w:sz w:val="20"/>
          <w:szCs w:val="20"/>
          <w:lang w:val="en-GB"/>
        </w:rPr>
        <w:t>senior citizens</w:t>
      </w:r>
      <w:r w:rsidR="00A86F58" w:rsidRPr="00F02FCC">
        <w:rPr>
          <w:rFonts w:asciiTheme="majorHAnsi" w:hAnsiTheme="majorHAnsi"/>
          <w:sz w:val="20"/>
          <w:szCs w:val="20"/>
          <w:lang w:val="en-GB"/>
        </w:rPr>
        <w:t>. Age, sedentary lifestyle and oestrogen defici</w:t>
      </w:r>
      <w:r w:rsidR="005F1314">
        <w:rPr>
          <w:rFonts w:asciiTheme="majorHAnsi" w:hAnsiTheme="majorHAnsi"/>
          <w:sz w:val="20"/>
          <w:szCs w:val="20"/>
          <w:lang w:val="en-GB"/>
        </w:rPr>
        <w:t>ency are the common risk factors of</w:t>
      </w:r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the two diseases. There are many reasons </w:t>
      </w:r>
      <w:r w:rsidR="00BA3F70">
        <w:rPr>
          <w:rFonts w:asciiTheme="majorHAnsi" w:hAnsiTheme="majorHAnsi"/>
          <w:sz w:val="20"/>
          <w:szCs w:val="20"/>
          <w:lang w:val="en-GB"/>
        </w:rPr>
        <w:t xml:space="preserve">justifying </w:t>
      </w:r>
      <w:r w:rsidR="00FA7C44">
        <w:rPr>
          <w:rFonts w:asciiTheme="majorHAnsi" w:hAnsiTheme="majorHAnsi"/>
          <w:sz w:val="20"/>
          <w:szCs w:val="20"/>
          <w:lang w:val="en-GB"/>
        </w:rPr>
        <w:t>the aim of</w:t>
      </w:r>
      <w:r w:rsidR="00BA3F70">
        <w:rPr>
          <w:rFonts w:asciiTheme="majorHAnsi" w:hAnsiTheme="majorHAnsi"/>
          <w:sz w:val="20"/>
          <w:szCs w:val="20"/>
          <w:lang w:val="en-GB"/>
        </w:rPr>
        <w:t xml:space="preserve"> establish</w:t>
      </w:r>
      <w:r w:rsidR="00FA7C44">
        <w:rPr>
          <w:rFonts w:asciiTheme="majorHAnsi" w:hAnsiTheme="majorHAnsi"/>
          <w:sz w:val="20"/>
          <w:szCs w:val="20"/>
          <w:lang w:val="en-GB"/>
        </w:rPr>
        <w:t>ing</w:t>
      </w:r>
      <w:r w:rsidR="00BA3F70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726723">
        <w:rPr>
          <w:rFonts w:asciiTheme="majorHAnsi" w:hAnsiTheme="majorHAnsi"/>
          <w:sz w:val="20"/>
          <w:szCs w:val="20"/>
          <w:lang w:val="en-GB"/>
        </w:rPr>
        <w:t>correlation</w:t>
      </w:r>
      <w:r w:rsidR="00463220">
        <w:rPr>
          <w:rFonts w:asciiTheme="majorHAnsi" w:hAnsiTheme="majorHAnsi"/>
          <w:sz w:val="20"/>
          <w:szCs w:val="20"/>
          <w:lang w:val="en-GB"/>
        </w:rPr>
        <w:t>s</w:t>
      </w:r>
      <w:r w:rsidR="00726723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between bone mineral density and the lipid profile.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Dyslipidaemia</w:t>
      </w:r>
      <w:proofErr w:type="spellEnd"/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can be considered a risk factor for osteoporosis, which </w:t>
      </w:r>
      <w:r w:rsidR="0067631E">
        <w:rPr>
          <w:rFonts w:asciiTheme="majorHAnsi" w:hAnsiTheme="majorHAnsi"/>
          <w:sz w:val="20"/>
          <w:szCs w:val="20"/>
          <w:lang w:val="en-GB"/>
        </w:rPr>
        <w:t>validates</w:t>
      </w:r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the importance of treating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dyslipidaemia</w:t>
      </w:r>
      <w:proofErr w:type="spellEnd"/>
      <w:r w:rsidR="00A86F58" w:rsidRPr="00F02FCC">
        <w:rPr>
          <w:rFonts w:asciiTheme="majorHAnsi" w:hAnsiTheme="majorHAnsi"/>
          <w:sz w:val="20"/>
          <w:szCs w:val="20"/>
          <w:lang w:val="en-GB"/>
        </w:rPr>
        <w:t xml:space="preserve"> in order to prevent osteoporosis and subsequent fractures.</w:t>
      </w:r>
      <w:r w:rsidR="00A7464D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A7464D" w:rsidRPr="00F02FCC" w:rsidRDefault="00A15BD1" w:rsidP="00A7464D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thesis </w:t>
      </w:r>
      <w:r w:rsidR="00E52491">
        <w:rPr>
          <w:rFonts w:asciiTheme="majorHAnsi" w:hAnsiTheme="majorHAnsi"/>
          <w:sz w:val="20"/>
          <w:szCs w:val="20"/>
          <w:lang w:val="en-GB"/>
        </w:rPr>
        <w:t>focuses 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correlation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between the two diseases </w:t>
      </w:r>
      <w:r w:rsidR="005160C6">
        <w:rPr>
          <w:rFonts w:asciiTheme="majorHAnsi" w:hAnsiTheme="majorHAnsi"/>
          <w:sz w:val="20"/>
          <w:szCs w:val="20"/>
          <w:lang w:val="en-GB"/>
        </w:rPr>
        <w:t>from the perspective of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lipid-lowering </w:t>
      </w:r>
      <w:r w:rsidR="009831AE">
        <w:rPr>
          <w:rFonts w:asciiTheme="majorHAnsi" w:hAnsiTheme="majorHAnsi"/>
          <w:sz w:val="20"/>
          <w:szCs w:val="20"/>
          <w:lang w:val="en-GB"/>
        </w:rPr>
        <w:t>treatment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with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simvastatin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and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fenofibrate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and the manner in which they influence the bone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remodelling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process</w:t>
      </w:r>
      <w:r w:rsidR="000476CE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12DC2">
        <w:rPr>
          <w:rFonts w:asciiTheme="majorHAnsi" w:hAnsiTheme="majorHAnsi"/>
          <w:sz w:val="20"/>
          <w:szCs w:val="20"/>
          <w:lang w:val="en-GB"/>
        </w:rPr>
        <w:t>concerning</w:t>
      </w:r>
      <w:r w:rsidR="000476CE">
        <w:rPr>
          <w:rFonts w:asciiTheme="majorHAnsi" w:hAnsiTheme="majorHAnsi"/>
          <w:sz w:val="20"/>
          <w:szCs w:val="20"/>
          <w:lang w:val="en-GB"/>
        </w:rPr>
        <w:t xml:space="preserve"> both 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the healthy </w:t>
      </w:r>
      <w:r w:rsidR="000476CE">
        <w:rPr>
          <w:rFonts w:asciiTheme="majorHAnsi" w:hAnsiTheme="majorHAnsi"/>
          <w:sz w:val="20"/>
          <w:szCs w:val="20"/>
          <w:lang w:val="en-GB"/>
        </w:rPr>
        <w:t xml:space="preserve">bone </w:t>
      </w:r>
      <w:r w:rsidRPr="00F02FCC">
        <w:rPr>
          <w:rFonts w:asciiTheme="majorHAnsi" w:hAnsiTheme="majorHAnsi"/>
          <w:sz w:val="20"/>
          <w:szCs w:val="20"/>
          <w:lang w:val="en-GB"/>
        </w:rPr>
        <w:t>tissue and the bone affected by osteoporosis, as well as the</w:t>
      </w:r>
      <w:r w:rsidR="002F3F40">
        <w:rPr>
          <w:rFonts w:asciiTheme="majorHAnsi" w:hAnsiTheme="majorHAnsi"/>
          <w:sz w:val="20"/>
          <w:szCs w:val="20"/>
          <w:lang w:val="en-GB"/>
        </w:rPr>
        <w:t>ir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F3F40">
        <w:rPr>
          <w:rFonts w:asciiTheme="majorHAnsi" w:hAnsiTheme="majorHAnsi"/>
          <w:sz w:val="20"/>
          <w:szCs w:val="20"/>
          <w:lang w:val="en-GB"/>
        </w:rPr>
        <w:t>effect 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F76131">
        <w:rPr>
          <w:rFonts w:asciiTheme="majorHAnsi" w:hAnsiTheme="majorHAnsi"/>
          <w:sz w:val="20"/>
          <w:szCs w:val="20"/>
          <w:lang w:val="en-GB"/>
        </w:rPr>
        <w:t>callus formation</w:t>
      </w:r>
      <w:r w:rsidRPr="00F02FCC">
        <w:rPr>
          <w:rFonts w:asciiTheme="majorHAnsi" w:hAnsiTheme="majorHAnsi"/>
          <w:sz w:val="20"/>
          <w:szCs w:val="20"/>
          <w:lang w:val="en-GB"/>
        </w:rPr>
        <w:t>. Fractures are</w:t>
      </w:r>
      <w:r w:rsidR="003C09EA" w:rsidRPr="003C09EA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C09EA" w:rsidRPr="00F02FCC">
        <w:rPr>
          <w:rFonts w:asciiTheme="majorHAnsi" w:hAnsiTheme="majorHAnsi"/>
          <w:sz w:val="20"/>
          <w:szCs w:val="20"/>
          <w:lang w:val="en-GB"/>
        </w:rPr>
        <w:t>often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first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clinical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sign of osteoporosis, a disease that is completely asymptomatic until this complication occur</w:t>
      </w:r>
      <w:r w:rsidR="0047560E">
        <w:rPr>
          <w:rFonts w:asciiTheme="majorHAnsi" w:hAnsiTheme="majorHAnsi"/>
          <w:sz w:val="20"/>
          <w:szCs w:val="20"/>
          <w:lang w:val="en-GB"/>
        </w:rPr>
        <w:t>s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, regardless </w:t>
      </w:r>
      <w:r w:rsidR="00E63C2A">
        <w:rPr>
          <w:rFonts w:asciiTheme="majorHAnsi" w:hAnsiTheme="majorHAnsi"/>
          <w:sz w:val="20"/>
          <w:szCs w:val="20"/>
          <w:lang w:val="en-GB"/>
        </w:rPr>
        <w:t xml:space="preserve">of 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the level </w:t>
      </w:r>
      <w:r w:rsidR="005A26CD">
        <w:rPr>
          <w:rFonts w:asciiTheme="majorHAnsi" w:hAnsiTheme="majorHAnsi"/>
          <w:sz w:val="20"/>
          <w:szCs w:val="20"/>
          <w:lang w:val="en-GB"/>
        </w:rPr>
        <w:t>at</w:t>
      </w:r>
      <w:r w:rsidR="00AF3BDD">
        <w:rPr>
          <w:rFonts w:asciiTheme="majorHAnsi" w:hAnsiTheme="majorHAnsi"/>
          <w:sz w:val="20"/>
          <w:szCs w:val="20"/>
          <w:lang w:val="en-GB"/>
        </w:rPr>
        <w:t xml:space="preserve"> which </w:t>
      </w:r>
      <w:r w:rsidRPr="00F02FCC">
        <w:rPr>
          <w:rFonts w:asciiTheme="majorHAnsi" w:hAnsiTheme="majorHAnsi"/>
          <w:sz w:val="20"/>
          <w:szCs w:val="20"/>
          <w:lang w:val="en-GB"/>
        </w:rPr>
        <w:t>it occurs.</w:t>
      </w:r>
      <w:r w:rsidR="00A7464D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A7464D" w:rsidRPr="00F02FCC" w:rsidRDefault="00A7464D" w:rsidP="00051D0F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ab/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For the</w:t>
      </w:r>
      <w:r w:rsidR="00BC377C">
        <w:rPr>
          <w:rFonts w:asciiTheme="majorHAnsi" w:hAnsiTheme="majorHAnsi"/>
          <w:sz w:val="20"/>
          <w:szCs w:val="20"/>
          <w:lang w:val="en-GB"/>
        </w:rPr>
        <w:t xml:space="preserve"> purpose</w:t>
      </w:r>
      <w:r w:rsidR="008A0614">
        <w:rPr>
          <w:rFonts w:asciiTheme="majorHAnsi" w:hAnsiTheme="majorHAnsi"/>
          <w:sz w:val="20"/>
          <w:szCs w:val="20"/>
          <w:lang w:val="en-GB"/>
        </w:rPr>
        <w:t>s</w:t>
      </w:r>
      <w:r w:rsidR="00BC377C">
        <w:rPr>
          <w:rFonts w:asciiTheme="majorHAnsi" w:hAnsiTheme="majorHAnsi"/>
          <w:sz w:val="20"/>
          <w:szCs w:val="20"/>
          <w:lang w:val="en-GB"/>
        </w:rPr>
        <w:t xml:space="preserve"> of the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 xml:space="preserve"> four clinical trials, a </w:t>
      </w:r>
      <w:r w:rsidR="00EF1587">
        <w:rPr>
          <w:rFonts w:asciiTheme="majorHAnsi" w:hAnsiTheme="majorHAnsi"/>
          <w:sz w:val="20"/>
          <w:szCs w:val="20"/>
          <w:lang w:val="en-GB"/>
        </w:rPr>
        <w:t>total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 xml:space="preserve"> of </w:t>
      </w:r>
      <w:r w:rsidR="003961D3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72</w:t>
      </w:r>
      <w:r w:rsidR="004C373D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adult</w:t>
      </w:r>
      <w:r w:rsidR="003961D3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54173A">
        <w:rPr>
          <w:rFonts w:asciiTheme="majorHAnsi" w:eastAsia="Calibri" w:hAnsiTheme="majorHAnsi" w:cs="Times New Roman"/>
          <w:sz w:val="20"/>
          <w:szCs w:val="20"/>
          <w:lang w:val="en-GB"/>
        </w:rPr>
        <w:t>a</w:t>
      </w:r>
      <w:r w:rsidR="003961D3" w:rsidRPr="00F02FCC">
        <w:rPr>
          <w:rFonts w:asciiTheme="majorHAnsi" w:hAnsiTheme="majorHAnsi" w:cs="Times New Roman"/>
          <w:sz w:val="20"/>
          <w:szCs w:val="20"/>
          <w:lang w:val="en-GB"/>
        </w:rPr>
        <w:t xml:space="preserve">lbino </w:t>
      </w:r>
      <w:proofErr w:type="spellStart"/>
      <w:r w:rsidR="003961D3" w:rsidRPr="00F02FCC">
        <w:rPr>
          <w:rFonts w:asciiTheme="majorHAnsi" w:hAnsiTheme="majorHAnsi" w:cs="Times New Roman"/>
          <w:sz w:val="20"/>
          <w:szCs w:val="20"/>
          <w:lang w:val="en-GB"/>
        </w:rPr>
        <w:t>Wistar</w:t>
      </w:r>
      <w:proofErr w:type="spellEnd"/>
      <w:r w:rsidR="003961D3" w:rsidRPr="00F02FCC">
        <w:rPr>
          <w:rFonts w:asciiTheme="majorHAnsi" w:hAnsiTheme="majorHAnsi" w:cs="Times New Roman"/>
          <w:sz w:val="20"/>
          <w:szCs w:val="20"/>
          <w:lang w:val="en-GB"/>
        </w:rPr>
        <w:t xml:space="preserve"> </w:t>
      </w:r>
      <w:r w:rsidR="004C373D">
        <w:rPr>
          <w:rFonts w:asciiTheme="majorHAnsi" w:eastAsia="Calibri" w:hAnsiTheme="majorHAnsi" w:cs="Times New Roman"/>
          <w:sz w:val="20"/>
          <w:szCs w:val="20"/>
          <w:lang w:val="en-GB"/>
        </w:rPr>
        <w:t>female</w:t>
      </w:r>
      <w:r w:rsidR="004C373D" w:rsidRPr="00F02FCC">
        <w:rPr>
          <w:rFonts w:asciiTheme="majorHAnsi" w:hAnsiTheme="majorHAnsi" w:cs="Times New Roman"/>
          <w:sz w:val="20"/>
          <w:szCs w:val="20"/>
          <w:lang w:val="en-GB"/>
        </w:rPr>
        <w:t xml:space="preserve"> </w:t>
      </w:r>
      <w:r w:rsidR="003961D3" w:rsidRPr="00F02FCC">
        <w:rPr>
          <w:rFonts w:asciiTheme="majorHAnsi" w:hAnsiTheme="majorHAnsi" w:cs="Times New Roman"/>
          <w:sz w:val="20"/>
          <w:szCs w:val="20"/>
          <w:lang w:val="en-GB"/>
        </w:rPr>
        <w:t>rats</w:t>
      </w:r>
      <w:r w:rsidR="00EA4C0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, aged 16 to </w:t>
      </w:r>
      <w:r w:rsidR="003961D3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18 months, </w:t>
      </w:r>
      <w:r w:rsidR="008642E8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were </w:t>
      </w:r>
      <w:r w:rsidR="007C00E9">
        <w:rPr>
          <w:rFonts w:asciiTheme="majorHAnsi" w:eastAsia="Calibri" w:hAnsiTheme="majorHAnsi" w:cs="Times New Roman"/>
          <w:sz w:val="20"/>
          <w:szCs w:val="20"/>
          <w:lang w:val="en-GB"/>
        </w:rPr>
        <w:t>distributed</w:t>
      </w:r>
      <w:r w:rsidR="003961D3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into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6 groups of 12 rats each, as follows: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i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) NOVX witness (</w:t>
      </w:r>
      <w:r w:rsidR="00947161">
        <w:rPr>
          <w:rFonts w:asciiTheme="majorHAnsi" w:eastAsia="Arial Unicode MS" w:hAnsiTheme="majorHAnsi"/>
          <w:sz w:val="20"/>
          <w:szCs w:val="20"/>
          <w:lang w:val="en-GB"/>
        </w:rPr>
        <w:t>no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947161">
        <w:rPr>
          <w:rFonts w:asciiTheme="majorHAnsi" w:eastAsia="Arial Unicode MS" w:hAnsiTheme="majorHAnsi"/>
          <w:sz w:val="20"/>
          <w:szCs w:val="20"/>
          <w:lang w:val="en-GB"/>
        </w:rPr>
        <w:t>,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r w:rsidR="00947161">
        <w:rPr>
          <w:rFonts w:asciiTheme="majorHAnsi" w:eastAsia="Arial Unicode MS" w:hAnsiTheme="majorHAnsi"/>
          <w:sz w:val="20"/>
          <w:szCs w:val="20"/>
          <w:lang w:val="en-GB"/>
        </w:rPr>
        <w:t>no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treatment); ii) OVX witness (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, </w:t>
      </w:r>
      <w:r w:rsidR="00947161">
        <w:rPr>
          <w:rFonts w:asciiTheme="majorHAnsi" w:eastAsia="Arial Unicode MS" w:hAnsiTheme="majorHAnsi"/>
          <w:sz w:val="20"/>
          <w:szCs w:val="20"/>
          <w:lang w:val="en-GB"/>
        </w:rPr>
        <w:t>no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treatment); iii) NOVX-S (</w:t>
      </w:r>
      <w:r w:rsidR="00947161">
        <w:rPr>
          <w:rFonts w:asciiTheme="majorHAnsi" w:eastAsia="Arial Unicode MS" w:hAnsiTheme="majorHAnsi"/>
          <w:sz w:val="20"/>
          <w:szCs w:val="20"/>
          <w:lang w:val="en-GB"/>
        </w:rPr>
        <w:t>no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, </w:t>
      </w:r>
      <w:r w:rsidR="00947161">
        <w:rPr>
          <w:rFonts w:asciiTheme="majorHAnsi" w:eastAsia="Arial Unicode MS" w:hAnsiTheme="majorHAnsi"/>
          <w:sz w:val="20"/>
          <w:szCs w:val="20"/>
          <w:lang w:val="en-GB"/>
        </w:rPr>
        <w:t xml:space="preserve">treated with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simvastatin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); iv) OVX-S (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B86ECF">
        <w:rPr>
          <w:rFonts w:asciiTheme="majorHAnsi" w:eastAsia="Arial Unicode MS" w:hAnsiTheme="majorHAnsi"/>
          <w:sz w:val="20"/>
          <w:szCs w:val="20"/>
          <w:lang w:val="en-GB"/>
        </w:rPr>
        <w:t xml:space="preserve">, treated with </w:t>
      </w:r>
      <w:proofErr w:type="spellStart"/>
      <w:r w:rsidR="00B86ECF">
        <w:rPr>
          <w:rFonts w:asciiTheme="majorHAnsi" w:eastAsia="Arial Unicode MS" w:hAnsiTheme="majorHAnsi"/>
          <w:sz w:val="20"/>
          <w:szCs w:val="20"/>
          <w:lang w:val="en-GB"/>
        </w:rPr>
        <w:t>simvastatin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); v) NOVX-F (</w:t>
      </w:r>
      <w:r w:rsidR="00B86ECF">
        <w:rPr>
          <w:rFonts w:asciiTheme="majorHAnsi" w:eastAsia="Arial Unicode MS" w:hAnsiTheme="majorHAnsi"/>
          <w:sz w:val="20"/>
          <w:szCs w:val="20"/>
          <w:lang w:val="en-GB"/>
        </w:rPr>
        <w:t>no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, </w:t>
      </w:r>
      <w:r w:rsidR="00B86ECF">
        <w:rPr>
          <w:rFonts w:asciiTheme="majorHAnsi" w:eastAsia="Arial Unicode MS" w:hAnsiTheme="majorHAnsi"/>
          <w:sz w:val="20"/>
          <w:szCs w:val="20"/>
          <w:lang w:val="en-GB"/>
        </w:rPr>
        <w:t xml:space="preserve">treated with </w:t>
      </w:r>
      <w:proofErr w:type="spellStart"/>
      <w:r w:rsidR="00B86ECF">
        <w:rPr>
          <w:rFonts w:asciiTheme="majorHAnsi" w:eastAsia="Arial Unicode MS" w:hAnsiTheme="majorHAnsi"/>
          <w:sz w:val="20"/>
          <w:szCs w:val="20"/>
          <w:lang w:val="en-GB"/>
        </w:rPr>
        <w:t>fenofibrate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)</w:t>
      </w:r>
      <w:r w:rsidR="00437DC5">
        <w:rPr>
          <w:rFonts w:asciiTheme="majorHAnsi" w:eastAsia="Arial Unicode MS" w:hAnsiTheme="majorHAnsi"/>
          <w:sz w:val="20"/>
          <w:szCs w:val="20"/>
          <w:lang w:val="en-GB"/>
        </w:rPr>
        <w:t>,</w:t>
      </w:r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and vi) OVX-F (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ovariectomy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, </w:t>
      </w:r>
      <w:r w:rsidR="00B86ECF">
        <w:rPr>
          <w:rFonts w:asciiTheme="majorHAnsi" w:eastAsia="Arial Unicode MS" w:hAnsiTheme="majorHAnsi"/>
          <w:sz w:val="20"/>
          <w:szCs w:val="20"/>
          <w:lang w:val="en-GB"/>
        </w:rPr>
        <w:t xml:space="preserve">treated with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fenofibrate</w:t>
      </w:r>
      <w:proofErr w:type="spellEnd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). </w:t>
      </w:r>
      <w:r w:rsidR="009B384F">
        <w:rPr>
          <w:rFonts w:asciiTheme="majorHAnsi" w:eastAsia="Arial Unicode MS" w:hAnsiTheme="majorHAnsi"/>
          <w:sz w:val="20"/>
          <w:szCs w:val="20"/>
          <w:lang w:val="en-GB"/>
        </w:rPr>
        <w:t>During</w:t>
      </w:r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all subsequent surgical procedures, the rats were anesthetised </w:t>
      </w:r>
      <w:r w:rsidR="0087261D">
        <w:rPr>
          <w:rFonts w:asciiTheme="majorHAnsi" w:eastAsia="Arial Unicode MS" w:hAnsiTheme="majorHAnsi"/>
          <w:sz w:val="20"/>
          <w:szCs w:val="20"/>
          <w:lang w:val="en-GB"/>
        </w:rPr>
        <w:t>by means of</w:t>
      </w:r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an </w:t>
      </w:r>
      <w:proofErr w:type="spellStart"/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>intraperitoneal</w:t>
      </w:r>
      <w:proofErr w:type="spellEnd"/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proofErr w:type="spellStart"/>
      <w:r w:rsidR="003961D3" w:rsidRPr="00F02FCC">
        <w:rPr>
          <w:rFonts w:asciiTheme="majorHAnsi" w:eastAsia="Arial Unicode MS" w:hAnsiTheme="majorHAnsi"/>
          <w:sz w:val="20"/>
          <w:szCs w:val="20"/>
          <w:lang w:val="en-GB"/>
        </w:rPr>
        <w:t>ketamine</w:t>
      </w:r>
      <w:proofErr w:type="spellEnd"/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and </w:t>
      </w:r>
      <w:proofErr w:type="spellStart"/>
      <w:r w:rsidR="00D97D94">
        <w:rPr>
          <w:rFonts w:asciiTheme="majorHAnsi" w:eastAsia="Arial Unicode MS" w:hAnsiTheme="majorHAnsi"/>
          <w:sz w:val="20"/>
          <w:szCs w:val="20"/>
          <w:lang w:val="en-GB"/>
        </w:rPr>
        <w:t>lidocaine</w:t>
      </w:r>
      <w:proofErr w:type="spellEnd"/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 </w:t>
      </w:r>
      <w:bookmarkStart w:id="0" w:name="_GoBack"/>
      <w:bookmarkEnd w:id="0"/>
      <w:r w:rsidR="008F5909" w:rsidRPr="00F02FCC">
        <w:rPr>
          <w:rFonts w:asciiTheme="majorHAnsi" w:eastAsia="Arial Unicode MS" w:hAnsiTheme="majorHAnsi"/>
          <w:sz w:val="20"/>
          <w:szCs w:val="20"/>
          <w:lang w:val="en-GB"/>
        </w:rPr>
        <w:t xml:space="preserve">injection (4-5 mg/kg). </w:t>
      </w:r>
      <w:r w:rsidR="008F5909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All rats </w:t>
      </w:r>
      <w:r w:rsidR="00F56A02">
        <w:rPr>
          <w:rFonts w:asciiTheme="majorHAnsi" w:eastAsia="Calibri" w:hAnsiTheme="majorHAnsi" w:cs="Times New Roman"/>
          <w:sz w:val="20"/>
          <w:szCs w:val="20"/>
          <w:lang w:val="en-GB"/>
        </w:rPr>
        <w:t>were subject to</w:t>
      </w:r>
      <w:r w:rsidR="008F5909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3B61F1">
        <w:rPr>
          <w:rFonts w:asciiTheme="majorHAnsi" w:eastAsia="Calibri" w:hAnsiTheme="majorHAnsi" w:cs="Times New Roman"/>
          <w:sz w:val="20"/>
          <w:szCs w:val="20"/>
          <w:lang w:val="en-GB"/>
        </w:rPr>
        <w:t>femoral</w:t>
      </w:r>
      <w:r w:rsidR="00FD2E46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mid-</w:t>
      </w:r>
      <w:proofErr w:type="spellStart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diaphys</w:t>
      </w:r>
      <w:r w:rsidR="003B61F1">
        <w:rPr>
          <w:rFonts w:asciiTheme="majorHAnsi" w:eastAsia="Calibri" w:hAnsiTheme="majorHAnsi" w:cs="Times New Roman"/>
          <w:sz w:val="20"/>
          <w:szCs w:val="20"/>
          <w:lang w:val="en-GB"/>
        </w:rPr>
        <w:t>is</w:t>
      </w:r>
      <w:proofErr w:type="spellEnd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fracture</w:t>
      </w:r>
      <w:r w:rsidR="005B6DF0">
        <w:rPr>
          <w:rFonts w:asciiTheme="majorHAnsi" w:eastAsia="Calibri" w:hAnsiTheme="majorHAnsi" w:cs="Times New Roman"/>
          <w:sz w:val="20"/>
          <w:szCs w:val="20"/>
          <w:lang w:val="en-GB"/>
        </w:rPr>
        <w:t>s</w:t>
      </w:r>
      <w:r w:rsidR="00707F81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of</w:t>
      </w:r>
      <w:r w:rsidR="00AD3673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the right posterior limb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, which </w:t>
      </w:r>
      <w:r w:rsidR="005B6DF0">
        <w:rPr>
          <w:rFonts w:asciiTheme="majorHAnsi" w:eastAsia="Calibri" w:hAnsiTheme="majorHAnsi" w:cs="Times New Roman"/>
          <w:sz w:val="20"/>
          <w:szCs w:val="20"/>
          <w:lang w:val="en-GB"/>
        </w:rPr>
        <w:t>were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stabilised using an </w:t>
      </w:r>
      <w:proofErr w:type="spellStart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intramedullary</w:t>
      </w:r>
      <w:proofErr w:type="spellEnd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546265">
        <w:rPr>
          <w:rFonts w:asciiTheme="majorHAnsi" w:eastAsia="Calibri" w:hAnsiTheme="majorHAnsi" w:cs="Times New Roman"/>
          <w:sz w:val="20"/>
          <w:szCs w:val="20"/>
          <w:lang w:val="en-GB"/>
        </w:rPr>
        <w:t>nail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. In the OVX groups, the fracture </w:t>
      </w:r>
      <w:r w:rsidR="00E0153F">
        <w:rPr>
          <w:rFonts w:asciiTheme="majorHAnsi" w:eastAsia="Calibri" w:hAnsiTheme="majorHAnsi" w:cs="Times New Roman"/>
          <w:sz w:val="20"/>
          <w:szCs w:val="20"/>
          <w:lang w:val="en-GB"/>
        </w:rPr>
        <w:t>was induced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12 weeks after the </w:t>
      </w:r>
      <w:proofErr w:type="spellStart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ovariectomy</w:t>
      </w:r>
      <w:proofErr w:type="spellEnd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2B127A">
        <w:rPr>
          <w:rFonts w:asciiTheme="majorHAnsi" w:eastAsia="Calibri" w:hAnsiTheme="majorHAnsi" w:cs="Times New Roman"/>
          <w:sz w:val="20"/>
          <w:szCs w:val="20"/>
          <w:lang w:val="en-GB"/>
        </w:rPr>
        <w:t>procedure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. </w:t>
      </w:r>
      <w:proofErr w:type="spellStart"/>
      <w:r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Simvastatin</w:t>
      </w:r>
      <w:proofErr w:type="spellEnd"/>
      <w:r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2B127A">
        <w:rPr>
          <w:rFonts w:asciiTheme="majorHAnsi" w:eastAsia="Calibri" w:hAnsiTheme="majorHAnsi" w:cs="Times New Roman"/>
          <w:sz w:val="20"/>
          <w:szCs w:val="20"/>
          <w:lang w:val="en-GB"/>
        </w:rPr>
        <w:t>was administered in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a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daily dose of 10 mg/kg, and </w:t>
      </w:r>
      <w:proofErr w:type="spellStart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fenofibrate</w:t>
      </w:r>
      <w:proofErr w:type="spellEnd"/>
      <w:r w:rsidR="002B127A">
        <w:rPr>
          <w:rFonts w:asciiTheme="majorHAnsi" w:eastAsia="Calibri" w:hAnsiTheme="majorHAnsi" w:cs="Times New Roman"/>
          <w:sz w:val="20"/>
          <w:szCs w:val="20"/>
          <w:lang w:val="en-GB"/>
        </w:rPr>
        <w:t>,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</w:t>
      </w:r>
      <w:r w:rsidR="002B127A">
        <w:rPr>
          <w:rFonts w:asciiTheme="majorHAnsi" w:eastAsia="Calibri" w:hAnsiTheme="majorHAnsi" w:cs="Times New Roman"/>
          <w:sz w:val="20"/>
          <w:szCs w:val="20"/>
          <w:lang w:val="en-GB"/>
        </w:rPr>
        <w:t>in</w:t>
      </w:r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 xml:space="preserve"> a 10 mg/kg dose by </w:t>
      </w:r>
      <w:proofErr w:type="spellStart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gavage</w:t>
      </w:r>
      <w:proofErr w:type="spellEnd"/>
      <w:r w:rsidR="00355AEA" w:rsidRPr="00F02FCC">
        <w:rPr>
          <w:rFonts w:asciiTheme="majorHAnsi" w:eastAsia="Calibri" w:hAnsiTheme="majorHAnsi" w:cs="Times New Roman"/>
          <w:sz w:val="20"/>
          <w:szCs w:val="20"/>
          <w:lang w:val="en-GB"/>
        </w:rPr>
        <w:t>.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55AEA" w:rsidRPr="00F02FCC">
        <w:rPr>
          <w:rFonts w:asciiTheme="majorHAnsi" w:hAnsiTheme="majorHAnsi"/>
          <w:sz w:val="20"/>
          <w:szCs w:val="20"/>
          <w:lang w:val="en-GB"/>
        </w:rPr>
        <w:t xml:space="preserve">The callus and the bone tissue were assessed 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>2, 4, 6</w:t>
      </w:r>
      <w:r w:rsidR="00355AEA" w:rsidRPr="00F02FCC">
        <w:rPr>
          <w:rFonts w:asciiTheme="majorHAnsi" w:hAnsiTheme="majorHAnsi"/>
          <w:sz w:val="20"/>
          <w:szCs w:val="20"/>
          <w:lang w:val="en-GB"/>
        </w:rPr>
        <w:t>,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55AEA" w:rsidRPr="00F02FCC">
        <w:rPr>
          <w:rFonts w:asciiTheme="majorHAnsi" w:hAnsiTheme="majorHAnsi"/>
          <w:sz w:val="20"/>
          <w:szCs w:val="20"/>
          <w:lang w:val="en-GB"/>
        </w:rPr>
        <w:t xml:space="preserve">and 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>respectiv</w:t>
      </w:r>
      <w:r w:rsidR="00355AEA" w:rsidRPr="00F02FCC">
        <w:rPr>
          <w:rFonts w:asciiTheme="majorHAnsi" w:hAnsiTheme="majorHAnsi"/>
          <w:sz w:val="20"/>
          <w:szCs w:val="20"/>
          <w:lang w:val="en-GB"/>
        </w:rPr>
        <w:t>ely,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 xml:space="preserve"> 8 </w:t>
      </w:r>
      <w:r w:rsidR="00355AEA" w:rsidRPr="00F02FCC">
        <w:rPr>
          <w:rFonts w:asciiTheme="majorHAnsi" w:hAnsiTheme="majorHAnsi"/>
          <w:sz w:val="20"/>
          <w:szCs w:val="20"/>
          <w:lang w:val="en-GB"/>
        </w:rPr>
        <w:t xml:space="preserve">weeks after the fracture had </w:t>
      </w:r>
      <w:r w:rsidR="00E0153F">
        <w:rPr>
          <w:rFonts w:asciiTheme="majorHAnsi" w:hAnsiTheme="majorHAnsi"/>
          <w:sz w:val="20"/>
          <w:szCs w:val="20"/>
          <w:lang w:val="en-GB"/>
        </w:rPr>
        <w:t>been induced</w:t>
      </w:r>
      <w:r w:rsidR="00051D0F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847CD8" w:rsidRPr="00F02FCC" w:rsidRDefault="004277EE" w:rsidP="00051D0F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A</w:t>
      </w:r>
      <w:r w:rsidR="00DB536D" w:rsidRPr="00F02FCC">
        <w:rPr>
          <w:rFonts w:asciiTheme="majorHAnsi" w:hAnsiTheme="majorHAnsi"/>
          <w:sz w:val="20"/>
          <w:szCs w:val="20"/>
          <w:lang w:val="en-GB"/>
        </w:rPr>
        <w:t xml:space="preserve">nimal </w:t>
      </w:r>
      <w:r w:rsidR="00210715">
        <w:rPr>
          <w:rFonts w:asciiTheme="majorHAnsi" w:hAnsiTheme="majorHAnsi"/>
          <w:sz w:val="20"/>
          <w:szCs w:val="20"/>
          <w:lang w:val="en-GB"/>
        </w:rPr>
        <w:t>testing</w:t>
      </w:r>
      <w:r w:rsidR="00DB536D" w:rsidRPr="00F02FCC">
        <w:rPr>
          <w:rFonts w:asciiTheme="majorHAnsi" w:hAnsiTheme="majorHAnsi"/>
          <w:sz w:val="20"/>
          <w:szCs w:val="20"/>
          <w:lang w:val="en-GB"/>
        </w:rPr>
        <w:t xml:space="preserve"> and study protocols</w:t>
      </w:r>
      <w:r>
        <w:rPr>
          <w:rFonts w:asciiTheme="majorHAnsi" w:hAnsiTheme="majorHAnsi"/>
          <w:sz w:val="20"/>
          <w:szCs w:val="20"/>
          <w:lang w:val="en-GB"/>
        </w:rPr>
        <w:t xml:space="preserve"> have been approved by the 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Research Ethics Committee of the University of Medicine and Pharmacy of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Tîrgu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Mureş</w:t>
      </w:r>
      <w:proofErr w:type="spellEnd"/>
      <w:r w:rsidR="005551BE">
        <w:rPr>
          <w:rFonts w:asciiTheme="majorHAnsi" w:hAnsiTheme="majorHAnsi"/>
          <w:sz w:val="20"/>
          <w:szCs w:val="20"/>
          <w:lang w:val="en-GB"/>
        </w:rPr>
        <w:t xml:space="preserve"> (</w:t>
      </w:r>
      <w:r w:rsidR="000B6229">
        <w:rPr>
          <w:rFonts w:asciiTheme="majorHAnsi" w:hAnsiTheme="majorHAnsi"/>
          <w:sz w:val="20"/>
          <w:szCs w:val="20"/>
          <w:lang w:val="en-GB"/>
        </w:rPr>
        <w:t>supporting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 xml:space="preserve"> documents</w:t>
      </w:r>
      <w:r w:rsidR="00A321CC">
        <w:rPr>
          <w:rFonts w:asciiTheme="majorHAnsi" w:hAnsiTheme="majorHAnsi"/>
          <w:sz w:val="20"/>
          <w:szCs w:val="20"/>
          <w:lang w:val="en-GB"/>
        </w:rPr>
        <w:t xml:space="preserve"> registered under No.</w:t>
      </w:r>
      <w:r w:rsidR="004F5180" w:rsidRPr="00F02FCC">
        <w:rPr>
          <w:rFonts w:asciiTheme="majorHAnsi" w:hAnsiTheme="majorHAnsi"/>
          <w:sz w:val="20"/>
          <w:szCs w:val="20"/>
          <w:lang w:val="en-GB"/>
        </w:rPr>
        <w:t xml:space="preserve"> 2/2009 and</w:t>
      </w:r>
      <w:r w:rsidR="00CD612E" w:rsidRPr="00F02FCC">
        <w:rPr>
          <w:rFonts w:asciiTheme="majorHAnsi" w:hAnsiTheme="majorHAnsi"/>
          <w:sz w:val="20"/>
          <w:szCs w:val="20"/>
          <w:lang w:val="en-GB"/>
        </w:rPr>
        <w:t xml:space="preserve"> 29/26.06.2012</w:t>
      </w:r>
      <w:r w:rsidR="005551BE">
        <w:rPr>
          <w:rFonts w:asciiTheme="majorHAnsi" w:hAnsiTheme="majorHAnsi"/>
          <w:sz w:val="20"/>
          <w:szCs w:val="20"/>
          <w:lang w:val="en-GB"/>
        </w:rPr>
        <w:t>)</w:t>
      </w:r>
      <w:r w:rsidR="00CD612E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051D0F" w:rsidRPr="00F02FCC" w:rsidRDefault="00A249C5" w:rsidP="00051D0F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In t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>he first trial</w:t>
      </w:r>
      <w:r>
        <w:rPr>
          <w:rFonts w:asciiTheme="majorHAnsi" w:hAnsiTheme="majorHAnsi"/>
          <w:sz w:val="20"/>
          <w:szCs w:val="20"/>
          <w:lang w:val="en-GB"/>
        </w:rPr>
        <w:t>, a radiological and histological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 xml:space="preserve"> assess</w:t>
      </w:r>
      <w:r>
        <w:rPr>
          <w:rFonts w:asciiTheme="majorHAnsi" w:hAnsiTheme="majorHAnsi"/>
          <w:sz w:val="20"/>
          <w:szCs w:val="20"/>
          <w:lang w:val="en-GB"/>
        </w:rPr>
        <w:t>ment was carried out con</w:t>
      </w:r>
      <w:r w:rsidR="003B480E">
        <w:rPr>
          <w:rFonts w:asciiTheme="majorHAnsi" w:hAnsiTheme="majorHAnsi"/>
          <w:sz w:val="20"/>
          <w:szCs w:val="20"/>
          <w:lang w:val="en-GB"/>
        </w:rPr>
        <w:t>cerning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 xml:space="preserve"> the callus </w:t>
      </w:r>
      <w:r w:rsidR="00D533EE">
        <w:rPr>
          <w:rFonts w:asciiTheme="majorHAnsi" w:hAnsiTheme="majorHAnsi"/>
          <w:sz w:val="20"/>
          <w:szCs w:val="20"/>
          <w:lang w:val="en-GB"/>
        </w:rPr>
        <w:t>formation</w:t>
      </w:r>
      <w:r w:rsidR="005B26E0">
        <w:rPr>
          <w:rFonts w:asciiTheme="majorHAnsi" w:hAnsiTheme="majorHAnsi"/>
          <w:sz w:val="20"/>
          <w:szCs w:val="20"/>
          <w:lang w:val="en-GB"/>
        </w:rPr>
        <w:t xml:space="preserve"> process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5B26E0">
        <w:rPr>
          <w:rFonts w:asciiTheme="majorHAnsi" w:hAnsiTheme="majorHAnsi"/>
          <w:sz w:val="20"/>
          <w:szCs w:val="20"/>
          <w:lang w:val="en-GB"/>
        </w:rPr>
        <w:t xml:space="preserve">and </w:t>
      </w:r>
      <w:r w:rsidR="003B480E">
        <w:rPr>
          <w:rFonts w:asciiTheme="majorHAnsi" w:hAnsiTheme="majorHAnsi"/>
          <w:sz w:val="20"/>
          <w:szCs w:val="20"/>
          <w:lang w:val="en-GB"/>
        </w:rPr>
        <w:t xml:space="preserve">a histological assessment of </w:t>
      </w:r>
      <w:r w:rsidR="00C82631" w:rsidRPr="00F02FCC">
        <w:rPr>
          <w:rFonts w:asciiTheme="majorHAnsi" w:hAnsiTheme="majorHAnsi"/>
          <w:sz w:val="20"/>
          <w:szCs w:val="20"/>
          <w:lang w:val="en-GB"/>
        </w:rPr>
        <w:t>the induced osteoporosis</w:t>
      </w:r>
      <w:r w:rsidR="00A314B5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A314B5" w:rsidRPr="00F02FCC" w:rsidRDefault="000F731E" w:rsidP="00051D0F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lastRenderedPageBreak/>
        <w:t xml:space="preserve">In the other three </w:t>
      </w:r>
      <w:r w:rsidR="006F208F">
        <w:rPr>
          <w:rFonts w:asciiTheme="majorHAnsi" w:hAnsiTheme="majorHAnsi"/>
          <w:sz w:val="20"/>
          <w:szCs w:val="20"/>
          <w:lang w:val="en-GB"/>
        </w:rPr>
        <w:t>trials</w:t>
      </w:r>
      <w:r w:rsidRPr="00F02FCC">
        <w:rPr>
          <w:rFonts w:asciiTheme="majorHAnsi" w:hAnsiTheme="majorHAnsi"/>
          <w:sz w:val="20"/>
          <w:szCs w:val="20"/>
          <w:lang w:val="en-GB"/>
        </w:rPr>
        <w:t>, modern research methods</w:t>
      </w:r>
      <w:r w:rsidR="00197DA1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97DA1" w:rsidRPr="00F02FCC">
        <w:rPr>
          <w:rFonts w:asciiTheme="majorHAnsi" w:hAnsiTheme="majorHAnsi"/>
          <w:sz w:val="20"/>
          <w:szCs w:val="20"/>
          <w:lang w:val="en-GB"/>
        </w:rPr>
        <w:t xml:space="preserve">were </w:t>
      </w:r>
      <w:r w:rsidR="004A5258">
        <w:rPr>
          <w:rFonts w:asciiTheme="majorHAnsi" w:hAnsiTheme="majorHAnsi"/>
          <w:sz w:val="20"/>
          <w:szCs w:val="20"/>
          <w:lang w:val="en-GB"/>
        </w:rPr>
        <w:t>applied</w:t>
      </w:r>
      <w:r w:rsidR="000375B0">
        <w:rPr>
          <w:rFonts w:asciiTheme="majorHAnsi" w:hAnsiTheme="majorHAnsi"/>
          <w:sz w:val="20"/>
          <w:szCs w:val="20"/>
          <w:lang w:val="en-GB"/>
        </w:rPr>
        <w:t>,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including bone spectrometry and NMR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relaxometry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.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Laplace spectrometry has become a standard method in the study of porous materials</w:t>
      </w:r>
      <w:r w:rsidR="001A2283">
        <w:rPr>
          <w:rFonts w:asciiTheme="majorHAnsi" w:hAnsiTheme="majorHAnsi"/>
          <w:sz w:val="20"/>
          <w:szCs w:val="20"/>
          <w:lang w:val="en-GB"/>
        </w:rPr>
        <w:t xml:space="preserve"> over the past decade</w:t>
      </w:r>
      <w:r w:rsidR="009B3A0C">
        <w:rPr>
          <w:rFonts w:asciiTheme="majorHAnsi" w:hAnsiTheme="majorHAnsi"/>
          <w:sz w:val="20"/>
          <w:szCs w:val="20"/>
          <w:lang w:val="en-GB"/>
        </w:rPr>
        <w:t>, which explains the use of such modern methods.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D608E">
        <w:rPr>
          <w:rFonts w:asciiTheme="majorHAnsi" w:hAnsiTheme="majorHAnsi"/>
          <w:sz w:val="20"/>
          <w:szCs w:val="20"/>
          <w:lang w:val="en-GB"/>
        </w:rPr>
        <w:t>As t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 xml:space="preserve">he bone </w:t>
      </w:r>
      <w:r w:rsidR="002D608E">
        <w:rPr>
          <w:rFonts w:asciiTheme="majorHAnsi" w:hAnsiTheme="majorHAnsi"/>
          <w:sz w:val="20"/>
          <w:szCs w:val="20"/>
          <w:lang w:val="en-GB"/>
        </w:rPr>
        <w:t>can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 xml:space="preserve"> be considered a quasi-porous medium that innately presents a certain amount of water within the pores, water molecules can be used as spy elements that are able to explore bone cavities. </w:t>
      </w:r>
      <w:proofErr w:type="gramStart"/>
      <w:r w:rsidR="00197DA1">
        <w:rPr>
          <w:rFonts w:asciiTheme="majorHAnsi" w:hAnsiTheme="majorHAnsi"/>
          <w:sz w:val="20"/>
          <w:szCs w:val="20"/>
          <w:lang w:val="en-GB"/>
        </w:rPr>
        <w:t xml:space="preserve">Given the fact that, </w:t>
      </w:r>
      <w:r w:rsidR="00197DA1" w:rsidRPr="00F02FCC">
        <w:rPr>
          <w:rFonts w:asciiTheme="majorHAnsi" w:hAnsiTheme="majorHAnsi"/>
          <w:sz w:val="20"/>
          <w:szCs w:val="20"/>
          <w:lang w:val="en-GB"/>
        </w:rPr>
        <w:t>from the point of view</w:t>
      </w:r>
      <w:r w:rsidR="00C01393">
        <w:rPr>
          <w:rFonts w:asciiTheme="majorHAnsi" w:hAnsiTheme="majorHAnsi"/>
          <w:sz w:val="20"/>
          <w:szCs w:val="20"/>
          <w:lang w:val="en-GB"/>
        </w:rPr>
        <w:t xml:space="preserve"> of its structure</w:t>
      </w:r>
      <w:r w:rsidR="00197DA1" w:rsidRPr="00F02FCC">
        <w:rPr>
          <w:rFonts w:asciiTheme="majorHAnsi" w:hAnsiTheme="majorHAnsi"/>
          <w:sz w:val="20"/>
          <w:szCs w:val="20"/>
          <w:lang w:val="en-GB"/>
        </w:rPr>
        <w:t>,</w:t>
      </w:r>
      <w:r w:rsidR="00EF1088" w:rsidRPr="00F02FCC">
        <w:rPr>
          <w:rFonts w:asciiTheme="majorHAnsi" w:hAnsiTheme="majorHAnsi"/>
          <w:sz w:val="20"/>
          <w:szCs w:val="20"/>
          <w:lang w:val="en-GB"/>
        </w:rPr>
        <w:t xml:space="preserve"> the</w:t>
      </w:r>
      <w:r w:rsidR="00426325">
        <w:rPr>
          <w:rFonts w:asciiTheme="majorHAnsi" w:hAnsiTheme="majorHAnsi"/>
          <w:sz w:val="20"/>
          <w:szCs w:val="20"/>
          <w:lang w:val="en-GB"/>
        </w:rPr>
        <w:t>re</w:t>
      </w:r>
      <w:r w:rsidR="00EF1088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426325">
        <w:rPr>
          <w:rFonts w:asciiTheme="majorHAnsi" w:hAnsiTheme="majorHAnsi"/>
          <w:sz w:val="20"/>
          <w:szCs w:val="20"/>
          <w:lang w:val="en-GB"/>
        </w:rPr>
        <w:t>are two types of bone tissue:</w:t>
      </w:r>
      <w:r w:rsidR="00EF1088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9F68FC" w:rsidRPr="00F02FCC">
        <w:rPr>
          <w:rFonts w:asciiTheme="majorHAnsi" w:hAnsiTheme="majorHAnsi"/>
          <w:sz w:val="20"/>
          <w:szCs w:val="20"/>
          <w:lang w:val="en-GB"/>
        </w:rPr>
        <w:t xml:space="preserve">compact bone and </w:t>
      </w:r>
      <w:proofErr w:type="spellStart"/>
      <w:r w:rsidR="009F68FC" w:rsidRPr="00F02FCC">
        <w:rPr>
          <w:rFonts w:asciiTheme="majorHAnsi" w:hAnsiTheme="majorHAnsi"/>
          <w:sz w:val="20"/>
          <w:szCs w:val="20"/>
          <w:lang w:val="en-GB"/>
        </w:rPr>
        <w:t>trabecular</w:t>
      </w:r>
      <w:proofErr w:type="spellEnd"/>
      <w:r w:rsidR="009F68FC" w:rsidRPr="00F02FCC">
        <w:rPr>
          <w:rFonts w:asciiTheme="majorHAnsi" w:hAnsiTheme="majorHAnsi"/>
          <w:sz w:val="20"/>
          <w:szCs w:val="20"/>
          <w:lang w:val="en-GB"/>
        </w:rPr>
        <w:t xml:space="preserve"> bone, the rat femur osteoporosis was assessed by sectioning the femur </w:t>
      </w:r>
      <w:r w:rsidR="008516A6">
        <w:rPr>
          <w:rFonts w:asciiTheme="majorHAnsi" w:hAnsiTheme="majorHAnsi"/>
          <w:sz w:val="20"/>
          <w:szCs w:val="20"/>
          <w:lang w:val="en-GB"/>
        </w:rPr>
        <w:t xml:space="preserve">of the </w:t>
      </w:r>
      <w:r w:rsidR="008516A6" w:rsidRPr="00F02FCC">
        <w:rPr>
          <w:rFonts w:asciiTheme="majorHAnsi" w:hAnsiTheme="majorHAnsi"/>
          <w:sz w:val="20"/>
          <w:szCs w:val="20"/>
          <w:lang w:val="en-GB"/>
        </w:rPr>
        <w:t xml:space="preserve">left </w:t>
      </w:r>
      <w:r w:rsidR="008516A6">
        <w:rPr>
          <w:rFonts w:asciiTheme="majorHAnsi" w:hAnsiTheme="majorHAnsi"/>
          <w:sz w:val="20"/>
          <w:szCs w:val="20"/>
          <w:lang w:val="en-GB"/>
        </w:rPr>
        <w:t xml:space="preserve">posterior limb </w:t>
      </w:r>
      <w:r w:rsidR="009F68FC" w:rsidRPr="00F02FCC">
        <w:rPr>
          <w:rFonts w:asciiTheme="majorHAnsi" w:hAnsiTheme="majorHAnsi"/>
          <w:sz w:val="20"/>
          <w:szCs w:val="20"/>
          <w:lang w:val="en-GB"/>
        </w:rPr>
        <w:t>into three segments.</w:t>
      </w:r>
      <w:proofErr w:type="gramEnd"/>
      <w:r w:rsidR="009F68FC" w:rsidRPr="00F02FCC">
        <w:rPr>
          <w:rFonts w:asciiTheme="majorHAnsi" w:hAnsiTheme="majorHAnsi"/>
          <w:sz w:val="20"/>
          <w:szCs w:val="20"/>
          <w:lang w:val="en-GB"/>
        </w:rPr>
        <w:t xml:space="preserve"> The first section was made under the </w:t>
      </w:r>
      <w:proofErr w:type="spellStart"/>
      <w:r w:rsidR="009F68FC" w:rsidRPr="00F02FCC">
        <w:rPr>
          <w:rFonts w:asciiTheme="majorHAnsi" w:hAnsiTheme="majorHAnsi"/>
          <w:sz w:val="20"/>
          <w:szCs w:val="20"/>
          <w:lang w:val="en-GB"/>
        </w:rPr>
        <w:t>trochanter</w:t>
      </w:r>
      <w:proofErr w:type="spellEnd"/>
      <w:r w:rsidR="009F68FC" w:rsidRPr="00F02FCC">
        <w:rPr>
          <w:rFonts w:asciiTheme="majorHAnsi" w:hAnsiTheme="majorHAnsi"/>
          <w:sz w:val="20"/>
          <w:szCs w:val="20"/>
          <w:lang w:val="en-GB"/>
        </w:rPr>
        <w:t xml:space="preserve">, the second one above the </w:t>
      </w:r>
      <w:proofErr w:type="spellStart"/>
      <w:r w:rsidR="009F68FC" w:rsidRPr="00F02FCC">
        <w:rPr>
          <w:rFonts w:asciiTheme="majorHAnsi" w:hAnsiTheme="majorHAnsi"/>
          <w:sz w:val="20"/>
          <w:szCs w:val="20"/>
          <w:lang w:val="en-GB"/>
        </w:rPr>
        <w:t>intercondylar</w:t>
      </w:r>
      <w:proofErr w:type="spellEnd"/>
      <w:r w:rsidR="009F68FC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="009F68FC" w:rsidRPr="00F02FCC">
        <w:rPr>
          <w:rFonts w:asciiTheme="majorHAnsi" w:hAnsiTheme="majorHAnsi"/>
          <w:sz w:val="20"/>
          <w:szCs w:val="20"/>
          <w:lang w:val="en-GB"/>
        </w:rPr>
        <w:t>fossa</w:t>
      </w:r>
      <w:proofErr w:type="spellEnd"/>
      <w:r w:rsidR="000967A5"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000D00">
        <w:rPr>
          <w:rFonts w:asciiTheme="majorHAnsi" w:hAnsiTheme="majorHAnsi"/>
          <w:sz w:val="20"/>
          <w:szCs w:val="20"/>
          <w:lang w:val="en-GB"/>
        </w:rPr>
        <w:t xml:space="preserve">and thus </w:t>
      </w:r>
      <w:r w:rsidR="000967A5" w:rsidRPr="00F02FCC">
        <w:rPr>
          <w:rFonts w:asciiTheme="majorHAnsi" w:hAnsiTheme="majorHAnsi"/>
          <w:sz w:val="20"/>
          <w:szCs w:val="20"/>
          <w:lang w:val="en-GB"/>
        </w:rPr>
        <w:t xml:space="preserve">three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segments</w:t>
      </w:r>
      <w:r w:rsidR="00000D00">
        <w:rPr>
          <w:rFonts w:asciiTheme="majorHAnsi" w:hAnsiTheme="majorHAnsi"/>
          <w:sz w:val="20"/>
          <w:szCs w:val="20"/>
          <w:lang w:val="en-GB"/>
        </w:rPr>
        <w:t xml:space="preserve"> were obtained</w:t>
      </w:r>
      <w:r w:rsidR="000967A5" w:rsidRPr="00F02FCC">
        <w:rPr>
          <w:rFonts w:asciiTheme="majorHAnsi" w:hAnsiTheme="majorHAnsi"/>
          <w:sz w:val="20"/>
          <w:szCs w:val="20"/>
          <w:lang w:val="en-GB"/>
        </w:rPr>
        <w:t xml:space="preserve">: the proximal segment of the femur (head, neck and proximal </w:t>
      </w:r>
      <w:proofErr w:type="spellStart"/>
      <w:r w:rsidR="000967A5" w:rsidRPr="00F02FCC">
        <w:rPr>
          <w:rFonts w:asciiTheme="majorHAnsi" w:hAnsiTheme="majorHAnsi"/>
          <w:sz w:val="20"/>
          <w:szCs w:val="20"/>
          <w:lang w:val="en-GB"/>
        </w:rPr>
        <w:t>diaphysis</w:t>
      </w:r>
      <w:proofErr w:type="spellEnd"/>
      <w:r w:rsidR="000967A5" w:rsidRPr="00F02FCC">
        <w:rPr>
          <w:rFonts w:asciiTheme="majorHAnsi" w:hAnsiTheme="majorHAnsi"/>
          <w:sz w:val="20"/>
          <w:szCs w:val="20"/>
          <w:lang w:val="en-GB"/>
        </w:rPr>
        <w:t xml:space="preserve">), </w:t>
      </w:r>
      <w:r w:rsidR="00AE3C6C">
        <w:rPr>
          <w:rFonts w:asciiTheme="majorHAnsi" w:hAnsiTheme="majorHAnsi"/>
          <w:sz w:val="20"/>
          <w:szCs w:val="20"/>
          <w:lang w:val="en-GB"/>
        </w:rPr>
        <w:t xml:space="preserve">the </w:t>
      </w:r>
      <w:proofErr w:type="spellStart"/>
      <w:r w:rsidR="000967A5" w:rsidRPr="00F02FCC">
        <w:rPr>
          <w:rFonts w:asciiTheme="majorHAnsi" w:hAnsiTheme="majorHAnsi"/>
          <w:sz w:val="20"/>
          <w:szCs w:val="20"/>
          <w:lang w:val="en-GB"/>
        </w:rPr>
        <w:t>diaphysis</w:t>
      </w:r>
      <w:proofErr w:type="spellEnd"/>
      <w:r w:rsidR="000967A5" w:rsidRPr="00F02FCC">
        <w:rPr>
          <w:rFonts w:asciiTheme="majorHAnsi" w:hAnsiTheme="majorHAnsi"/>
          <w:sz w:val="20"/>
          <w:szCs w:val="20"/>
          <w:lang w:val="en-GB"/>
        </w:rPr>
        <w:t xml:space="preserve"> and </w:t>
      </w:r>
      <w:r w:rsidR="00AE3C6C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0967A5" w:rsidRPr="00F02FCC">
        <w:rPr>
          <w:rFonts w:asciiTheme="majorHAnsi" w:hAnsiTheme="majorHAnsi"/>
          <w:sz w:val="20"/>
          <w:szCs w:val="20"/>
          <w:lang w:val="en-GB"/>
        </w:rPr>
        <w:t>distal epiphysis.</w:t>
      </w:r>
    </w:p>
    <w:p w:rsidR="00D02ECE" w:rsidRPr="00F02FCC" w:rsidRDefault="009C5BDA" w:rsidP="00051D0F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In the second trial, the pores in the three segments of the femur were </w:t>
      </w:r>
      <w:proofErr w:type="spellStart"/>
      <w:r w:rsidR="003961D3" w:rsidRPr="00F02FCC">
        <w:rPr>
          <w:rFonts w:asciiTheme="majorHAnsi" w:hAnsiTheme="majorHAnsi"/>
          <w:sz w:val="20"/>
          <w:szCs w:val="20"/>
          <w:lang w:val="en-GB"/>
        </w:rPr>
        <w:t>hierarchized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and their </w:t>
      </w:r>
      <w:r w:rsidR="00C42F12">
        <w:rPr>
          <w:rFonts w:asciiTheme="majorHAnsi" w:hAnsiTheme="majorHAnsi"/>
          <w:sz w:val="20"/>
          <w:szCs w:val="20"/>
          <w:lang w:val="en-GB"/>
        </w:rPr>
        <w:t>development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535B4">
        <w:rPr>
          <w:rFonts w:asciiTheme="majorHAnsi" w:hAnsiTheme="majorHAnsi"/>
          <w:sz w:val="20"/>
          <w:szCs w:val="20"/>
          <w:lang w:val="en-GB"/>
        </w:rPr>
        <w:t>had been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assessed </w:t>
      </w:r>
      <w:r w:rsidR="00EB65AE">
        <w:rPr>
          <w:rFonts w:asciiTheme="majorHAnsi" w:hAnsiTheme="majorHAnsi"/>
          <w:sz w:val="20"/>
          <w:szCs w:val="20"/>
          <w:lang w:val="en-GB"/>
        </w:rPr>
        <w:t>against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proofErr w:type="spellStart"/>
      <w:r w:rsidR="00681F07">
        <w:rPr>
          <w:rFonts w:asciiTheme="majorHAnsi" w:hAnsiTheme="majorHAnsi"/>
          <w:sz w:val="20"/>
          <w:szCs w:val="20"/>
          <w:lang w:val="en-GB"/>
        </w:rPr>
        <w:t>ovariectomize</w:t>
      </w:r>
      <w:r w:rsidR="00E34A46">
        <w:rPr>
          <w:rFonts w:asciiTheme="majorHAnsi" w:hAnsiTheme="majorHAnsi"/>
          <w:sz w:val="20"/>
          <w:szCs w:val="20"/>
          <w:lang w:val="en-GB"/>
        </w:rPr>
        <w:t>d</w:t>
      </w:r>
      <w:proofErr w:type="spellEnd"/>
      <w:r w:rsidR="00E34A46">
        <w:rPr>
          <w:rFonts w:asciiTheme="majorHAnsi" w:hAnsiTheme="majorHAnsi"/>
          <w:sz w:val="20"/>
          <w:szCs w:val="20"/>
          <w:lang w:val="en-GB"/>
        </w:rPr>
        <w:t xml:space="preserve"> and respectively</w:t>
      </w:r>
      <w:r w:rsidR="00681F07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34A46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681F07">
        <w:rPr>
          <w:rFonts w:asciiTheme="majorHAnsi" w:hAnsiTheme="majorHAnsi"/>
          <w:sz w:val="20"/>
          <w:szCs w:val="20"/>
          <w:lang w:val="en-GB"/>
        </w:rPr>
        <w:t>non-</w:t>
      </w:r>
      <w:proofErr w:type="spellStart"/>
      <w:r w:rsidR="00681F07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681F07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34A46">
        <w:rPr>
          <w:rFonts w:asciiTheme="majorHAnsi" w:hAnsiTheme="majorHAnsi"/>
          <w:sz w:val="20"/>
          <w:szCs w:val="20"/>
          <w:lang w:val="en-GB"/>
        </w:rPr>
        <w:t xml:space="preserve">witness </w:t>
      </w:r>
      <w:r w:rsidRPr="00F02FCC">
        <w:rPr>
          <w:rFonts w:asciiTheme="majorHAnsi" w:hAnsiTheme="majorHAnsi"/>
          <w:sz w:val="20"/>
          <w:szCs w:val="20"/>
          <w:lang w:val="en-GB"/>
        </w:rPr>
        <w:t>group</w:t>
      </w:r>
      <w:r w:rsidR="00BE6631">
        <w:rPr>
          <w:rFonts w:asciiTheme="majorHAnsi" w:hAnsiTheme="majorHAnsi"/>
          <w:sz w:val="20"/>
          <w:szCs w:val="20"/>
          <w:lang w:val="en-GB"/>
        </w:rPr>
        <w:t>s</w:t>
      </w:r>
      <w:r w:rsidR="00681F07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B65AE">
        <w:rPr>
          <w:rFonts w:asciiTheme="majorHAnsi" w:hAnsiTheme="majorHAnsi"/>
          <w:sz w:val="20"/>
          <w:szCs w:val="20"/>
          <w:lang w:val="en-GB"/>
        </w:rPr>
        <w:t>for</w:t>
      </w:r>
      <w:r w:rsidR="00EB65AE" w:rsidRPr="00F02FCC">
        <w:rPr>
          <w:rFonts w:asciiTheme="majorHAnsi" w:hAnsiTheme="majorHAnsi"/>
          <w:sz w:val="20"/>
          <w:szCs w:val="20"/>
          <w:lang w:val="en-GB"/>
        </w:rPr>
        <w:t xml:space="preserve"> eight weeks</w:t>
      </w:r>
      <w:r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026C77" w:rsidRPr="00F02FCC" w:rsidRDefault="009C5BDA" w:rsidP="00026C77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object of the third </w:t>
      </w:r>
      <w:r w:rsidR="001B1CB6">
        <w:rPr>
          <w:rFonts w:asciiTheme="majorHAnsi" w:hAnsiTheme="majorHAnsi"/>
          <w:sz w:val="20"/>
          <w:szCs w:val="20"/>
          <w:lang w:val="en-GB"/>
        </w:rPr>
        <w:t>trial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was to </w:t>
      </w:r>
      <w:r w:rsidR="004F6AEF">
        <w:rPr>
          <w:rFonts w:asciiTheme="majorHAnsi" w:hAnsiTheme="majorHAnsi"/>
          <w:sz w:val="20"/>
          <w:szCs w:val="20"/>
          <w:lang w:val="en-GB"/>
        </w:rPr>
        <w:t>assess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pore size </w:t>
      </w:r>
      <w:r w:rsidR="00646FA0" w:rsidRPr="00F02FCC">
        <w:rPr>
          <w:rFonts w:asciiTheme="majorHAnsi" w:hAnsiTheme="majorHAnsi"/>
          <w:sz w:val="20"/>
          <w:szCs w:val="20"/>
          <w:lang w:val="en-GB"/>
        </w:rPr>
        <w:t xml:space="preserve">distribution </w:t>
      </w:r>
      <w:r w:rsidRPr="00F02FCC">
        <w:rPr>
          <w:rFonts w:asciiTheme="majorHAnsi" w:hAnsiTheme="majorHAnsi"/>
          <w:sz w:val="20"/>
          <w:szCs w:val="20"/>
          <w:lang w:val="en-GB"/>
        </w:rPr>
        <w:t>at the level of th</w:t>
      </w:r>
      <w:r w:rsidR="00C30A50">
        <w:rPr>
          <w:rFonts w:asciiTheme="majorHAnsi" w:hAnsiTheme="majorHAnsi"/>
          <w:sz w:val="20"/>
          <w:szCs w:val="20"/>
          <w:lang w:val="en-GB"/>
        </w:rPr>
        <w:t>e proximal segment of the femur compared with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74D53" w:rsidRPr="00F02FCC">
        <w:rPr>
          <w:rFonts w:asciiTheme="majorHAnsi" w:hAnsiTheme="majorHAnsi"/>
          <w:sz w:val="20"/>
          <w:szCs w:val="20"/>
          <w:lang w:val="en-GB"/>
        </w:rPr>
        <w:t xml:space="preserve">the </w:t>
      </w:r>
      <w:proofErr w:type="spellStart"/>
      <w:r w:rsidR="00274D53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274D53">
        <w:rPr>
          <w:rFonts w:asciiTheme="majorHAnsi" w:hAnsiTheme="majorHAnsi"/>
          <w:sz w:val="20"/>
          <w:szCs w:val="20"/>
          <w:lang w:val="en-GB"/>
        </w:rPr>
        <w:t xml:space="preserve"> and respectively the non-</w:t>
      </w:r>
      <w:proofErr w:type="spellStart"/>
      <w:r w:rsidR="00274D53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274D53">
        <w:rPr>
          <w:rFonts w:asciiTheme="majorHAnsi" w:hAnsiTheme="majorHAnsi"/>
          <w:sz w:val="20"/>
          <w:szCs w:val="20"/>
          <w:lang w:val="en-GB"/>
        </w:rPr>
        <w:t xml:space="preserve"> witness </w:t>
      </w:r>
      <w:r w:rsidR="00274D53" w:rsidRPr="00F02FCC">
        <w:rPr>
          <w:rFonts w:asciiTheme="majorHAnsi" w:hAnsiTheme="majorHAnsi"/>
          <w:sz w:val="20"/>
          <w:szCs w:val="20"/>
          <w:lang w:val="en-GB"/>
        </w:rPr>
        <w:t>group</w:t>
      </w:r>
      <w:r w:rsidR="00274D53">
        <w:rPr>
          <w:rFonts w:asciiTheme="majorHAnsi" w:hAnsiTheme="majorHAnsi"/>
          <w:sz w:val="20"/>
          <w:szCs w:val="20"/>
          <w:lang w:val="en-GB"/>
        </w:rPr>
        <w:t>s</w:t>
      </w:r>
      <w:r w:rsidRPr="00F02FCC">
        <w:rPr>
          <w:rFonts w:asciiTheme="majorHAnsi" w:hAnsiTheme="majorHAnsi"/>
          <w:sz w:val="20"/>
          <w:szCs w:val="20"/>
          <w:lang w:val="en-GB"/>
        </w:rPr>
        <w:t>. The decision to assess this segment was based on the results of the previous trial.</w:t>
      </w:r>
    </w:p>
    <w:p w:rsidR="00EE3CEE" w:rsidRPr="00F02FCC" w:rsidRDefault="00B52CB5" w:rsidP="00026C77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In t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>he fourth trial</w:t>
      </w:r>
      <w:r>
        <w:rPr>
          <w:rFonts w:asciiTheme="majorHAnsi" w:hAnsiTheme="majorHAnsi"/>
          <w:sz w:val="20"/>
          <w:szCs w:val="20"/>
          <w:lang w:val="en-GB"/>
        </w:rPr>
        <w:t>,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5B3AAD">
        <w:rPr>
          <w:rFonts w:asciiTheme="majorHAnsi" w:hAnsiTheme="majorHAnsi"/>
          <w:sz w:val="20"/>
          <w:szCs w:val="20"/>
          <w:lang w:val="en-GB"/>
        </w:rPr>
        <w:t xml:space="preserve">femur 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osteoporosis </w:t>
      </w:r>
      <w:r w:rsidR="00DC2809">
        <w:rPr>
          <w:rFonts w:asciiTheme="majorHAnsi" w:hAnsiTheme="majorHAnsi"/>
          <w:sz w:val="20"/>
          <w:szCs w:val="20"/>
          <w:lang w:val="en-GB"/>
        </w:rPr>
        <w:t>in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rat</w:t>
      </w:r>
      <w:r w:rsidR="005B3AAD">
        <w:rPr>
          <w:rFonts w:asciiTheme="majorHAnsi" w:hAnsiTheme="majorHAnsi"/>
          <w:sz w:val="20"/>
          <w:szCs w:val="20"/>
          <w:lang w:val="en-GB"/>
        </w:rPr>
        <w:t>s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5B3AAD">
        <w:rPr>
          <w:rFonts w:asciiTheme="majorHAnsi" w:hAnsiTheme="majorHAnsi"/>
          <w:sz w:val="20"/>
          <w:szCs w:val="20"/>
          <w:lang w:val="en-GB"/>
        </w:rPr>
        <w:t>treated with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="009C5BDA" w:rsidRPr="00F02FCC">
        <w:rPr>
          <w:rFonts w:asciiTheme="majorHAnsi" w:hAnsiTheme="majorHAnsi"/>
          <w:sz w:val="20"/>
          <w:szCs w:val="20"/>
          <w:lang w:val="en-GB"/>
        </w:rPr>
        <w:t>simvastatin</w:t>
      </w:r>
      <w:proofErr w:type="spellEnd"/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and </w:t>
      </w:r>
      <w:proofErr w:type="spellStart"/>
      <w:r w:rsidR="009C5BDA" w:rsidRPr="00F02FCC">
        <w:rPr>
          <w:rFonts w:asciiTheme="majorHAnsi" w:hAnsiTheme="majorHAnsi"/>
          <w:sz w:val="20"/>
          <w:szCs w:val="20"/>
          <w:lang w:val="en-GB"/>
        </w:rPr>
        <w:t>fenofibrate</w:t>
      </w:r>
      <w:proofErr w:type="spellEnd"/>
      <w:r>
        <w:rPr>
          <w:rFonts w:asciiTheme="majorHAnsi" w:hAnsiTheme="majorHAnsi"/>
          <w:sz w:val="20"/>
          <w:szCs w:val="20"/>
          <w:lang w:val="en-GB"/>
        </w:rPr>
        <w:t xml:space="preserve"> was studied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, and </w:t>
      </w:r>
      <w:r w:rsidR="001700E0">
        <w:rPr>
          <w:rFonts w:asciiTheme="majorHAnsi" w:hAnsiTheme="majorHAnsi"/>
          <w:sz w:val="20"/>
          <w:szCs w:val="20"/>
          <w:lang w:val="en-GB"/>
        </w:rPr>
        <w:t>the data obtain</w:t>
      </w:r>
      <w:r>
        <w:rPr>
          <w:rFonts w:asciiTheme="majorHAnsi" w:hAnsiTheme="majorHAnsi"/>
          <w:sz w:val="20"/>
          <w:szCs w:val="20"/>
          <w:lang w:val="en-GB"/>
        </w:rPr>
        <w:t>ed by means of</w:t>
      </w:r>
      <w:r w:rsidR="001700E0">
        <w:rPr>
          <w:rFonts w:asciiTheme="majorHAnsi" w:hAnsiTheme="majorHAnsi"/>
          <w:sz w:val="20"/>
          <w:szCs w:val="20"/>
          <w:lang w:val="en-GB"/>
        </w:rPr>
        <w:t xml:space="preserve"> the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5B3AAD">
        <w:rPr>
          <w:rFonts w:asciiTheme="majorHAnsi" w:hAnsiTheme="majorHAnsi"/>
          <w:sz w:val="20"/>
          <w:szCs w:val="20"/>
          <w:lang w:val="en-GB"/>
        </w:rPr>
        <w:t>two-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dimensional</w:t>
      </w:r>
      <w:r w:rsidR="005B3AAD">
        <w:rPr>
          <w:rFonts w:asciiTheme="majorHAnsi" w:hAnsiTheme="majorHAnsi"/>
          <w:sz w:val="20"/>
          <w:szCs w:val="20"/>
          <w:lang w:val="en-GB"/>
        </w:rPr>
        <w:t xml:space="preserve"> and </w:t>
      </w:r>
      <w:r w:rsidR="00264C4C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5B3AAD">
        <w:rPr>
          <w:rFonts w:asciiTheme="majorHAnsi" w:hAnsiTheme="majorHAnsi"/>
          <w:sz w:val="20"/>
          <w:szCs w:val="20"/>
          <w:lang w:val="en-GB"/>
        </w:rPr>
        <w:t>three-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>dimensional bone tissue assessment methods</w:t>
      </w:r>
      <w:r w:rsidR="00A67D76">
        <w:rPr>
          <w:rFonts w:asciiTheme="majorHAnsi" w:hAnsiTheme="majorHAnsi"/>
          <w:sz w:val="20"/>
          <w:szCs w:val="20"/>
          <w:lang w:val="en-GB"/>
        </w:rPr>
        <w:t xml:space="preserve"> were compared</w:t>
      </w:r>
      <w:r w:rsidR="009C5BDA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EF4A62" w:rsidRPr="00F02FCC" w:rsidRDefault="00EF4A62" w:rsidP="00026C77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b/>
          <w:sz w:val="20"/>
          <w:szCs w:val="20"/>
          <w:lang w:val="en-GB"/>
        </w:rPr>
        <w:t>Re</w:t>
      </w:r>
      <w:r w:rsidR="00E20553" w:rsidRPr="00F02FCC">
        <w:rPr>
          <w:rFonts w:asciiTheme="majorHAnsi" w:hAnsiTheme="majorHAnsi"/>
          <w:b/>
          <w:sz w:val="20"/>
          <w:szCs w:val="20"/>
          <w:lang w:val="en-GB"/>
        </w:rPr>
        <w:t>sults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EF4A62" w:rsidRPr="00F02FCC" w:rsidRDefault="003961D3" w:rsidP="00026C77">
      <w:pPr>
        <w:ind w:firstLine="54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treatment with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simvastatin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favours callus</w:t>
      </w:r>
      <w:r w:rsidR="006B09EE">
        <w:rPr>
          <w:rFonts w:asciiTheme="majorHAnsi" w:hAnsiTheme="majorHAnsi"/>
          <w:sz w:val="20"/>
          <w:szCs w:val="20"/>
          <w:lang w:val="en-GB"/>
        </w:rPr>
        <w:t xml:space="preserve"> formation</w:t>
      </w:r>
      <w:r w:rsidR="00DC7EF6">
        <w:rPr>
          <w:rFonts w:asciiTheme="majorHAnsi" w:hAnsiTheme="majorHAnsi"/>
          <w:sz w:val="20"/>
          <w:szCs w:val="20"/>
          <w:lang w:val="en-GB"/>
        </w:rPr>
        <w:t>; the fracture healed after 6 weeks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in the </w:t>
      </w:r>
      <w:r w:rsidR="00055700">
        <w:rPr>
          <w:rFonts w:asciiTheme="majorHAnsi" w:hAnsiTheme="majorHAnsi"/>
          <w:sz w:val="20"/>
          <w:szCs w:val="20"/>
          <w:lang w:val="en-GB"/>
        </w:rPr>
        <w:t>non-</w:t>
      </w:r>
      <w:proofErr w:type="spellStart"/>
      <w:r w:rsidR="00055700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055700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F02FCC">
        <w:rPr>
          <w:rFonts w:asciiTheme="majorHAnsi" w:hAnsiTheme="majorHAnsi"/>
          <w:sz w:val="20"/>
          <w:szCs w:val="20"/>
          <w:lang w:val="en-GB"/>
        </w:rPr>
        <w:t>group, and after 8 weeks in the</w:t>
      </w:r>
      <w:r w:rsidR="00D82BBD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="00D82BBD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group</w:t>
      </w:r>
      <w:r w:rsidR="003B1C97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352051">
        <w:rPr>
          <w:rFonts w:asciiTheme="majorHAnsi" w:hAnsiTheme="majorHAnsi"/>
          <w:sz w:val="20"/>
          <w:szCs w:val="20"/>
          <w:lang w:val="en-GB"/>
        </w:rPr>
        <w:t>as opposed to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witness groups and the groups </w:t>
      </w:r>
      <w:r w:rsidR="00D84F9F">
        <w:rPr>
          <w:rFonts w:asciiTheme="majorHAnsi" w:hAnsiTheme="majorHAnsi"/>
          <w:sz w:val="20"/>
          <w:szCs w:val="20"/>
          <w:lang w:val="en-GB"/>
        </w:rPr>
        <w:t>treated with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fenofibrate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where callus </w:t>
      </w:r>
      <w:r w:rsidR="0029737F">
        <w:rPr>
          <w:rFonts w:asciiTheme="majorHAnsi" w:hAnsiTheme="majorHAnsi"/>
          <w:sz w:val="20"/>
          <w:szCs w:val="20"/>
          <w:lang w:val="en-GB"/>
        </w:rPr>
        <w:t>formation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672185">
        <w:rPr>
          <w:rFonts w:asciiTheme="majorHAnsi" w:hAnsiTheme="majorHAnsi"/>
          <w:sz w:val="20"/>
          <w:szCs w:val="20"/>
          <w:lang w:val="en-GB"/>
        </w:rPr>
        <w:t>was still in progress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. 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As for the </w:t>
      </w:r>
      <w:proofErr w:type="spellStart"/>
      <w:r w:rsidR="00A54520" w:rsidRPr="00F02FCC">
        <w:rPr>
          <w:rFonts w:asciiTheme="majorHAnsi" w:hAnsiTheme="majorHAnsi"/>
          <w:sz w:val="20"/>
          <w:szCs w:val="20"/>
          <w:lang w:val="en-GB"/>
        </w:rPr>
        <w:t>fenofibrate</w:t>
      </w:r>
      <w:proofErr w:type="spellEnd"/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treatment, it did not prove to </w:t>
      </w:r>
      <w:r w:rsidR="0014649C">
        <w:rPr>
          <w:rFonts w:asciiTheme="majorHAnsi" w:hAnsiTheme="majorHAnsi"/>
          <w:sz w:val="20"/>
          <w:szCs w:val="20"/>
          <w:lang w:val="en-GB"/>
        </w:rPr>
        <w:t xml:space="preserve">have </w:t>
      </w:r>
      <w:r w:rsidR="005D7656">
        <w:rPr>
          <w:rFonts w:asciiTheme="majorHAnsi" w:hAnsiTheme="majorHAnsi"/>
          <w:sz w:val="20"/>
          <w:szCs w:val="20"/>
          <w:lang w:val="en-GB"/>
        </w:rPr>
        <w:t xml:space="preserve">any </w:t>
      </w:r>
      <w:r w:rsidR="0014649C">
        <w:rPr>
          <w:rFonts w:asciiTheme="majorHAnsi" w:hAnsiTheme="majorHAnsi"/>
          <w:sz w:val="20"/>
          <w:szCs w:val="20"/>
          <w:lang w:val="en-GB"/>
        </w:rPr>
        <w:t>positive effects</w:t>
      </w:r>
      <w:r w:rsidR="00553E96">
        <w:rPr>
          <w:rFonts w:asciiTheme="majorHAnsi" w:hAnsiTheme="majorHAnsi"/>
          <w:sz w:val="20"/>
          <w:szCs w:val="20"/>
          <w:lang w:val="en-GB"/>
        </w:rPr>
        <w:t xml:space="preserve">; 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the histological </w:t>
      </w:r>
      <w:r w:rsidR="00553E96">
        <w:rPr>
          <w:rFonts w:asciiTheme="majorHAnsi" w:hAnsiTheme="majorHAnsi"/>
          <w:sz w:val="20"/>
          <w:szCs w:val="20"/>
          <w:lang w:val="en-GB"/>
        </w:rPr>
        <w:t>data revealed that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the callus </w:t>
      </w:r>
      <w:r w:rsidR="0014649C">
        <w:rPr>
          <w:rFonts w:asciiTheme="majorHAnsi" w:hAnsiTheme="majorHAnsi"/>
          <w:sz w:val="20"/>
          <w:szCs w:val="20"/>
          <w:lang w:val="en-GB"/>
        </w:rPr>
        <w:t>formation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process slow</w:t>
      </w:r>
      <w:r w:rsidR="0069359A">
        <w:rPr>
          <w:rFonts w:asciiTheme="majorHAnsi" w:hAnsiTheme="majorHAnsi"/>
          <w:sz w:val="20"/>
          <w:szCs w:val="20"/>
          <w:lang w:val="en-GB"/>
        </w:rPr>
        <w:t>ed down after 8 weeks compared with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the witness group.</w:t>
      </w:r>
    </w:p>
    <w:p w:rsidR="00AB2FD1" w:rsidRPr="00F02FCC" w:rsidRDefault="0043075F" w:rsidP="00AB2FD1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According to the histological images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AB3F3E">
        <w:rPr>
          <w:rFonts w:asciiTheme="majorHAnsi" w:hAnsiTheme="majorHAnsi"/>
          <w:sz w:val="20"/>
          <w:szCs w:val="20"/>
          <w:lang w:val="en-GB"/>
        </w:rPr>
        <w:t>as far as</w:t>
      </w:r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r w:rsidR="00AB3F3E">
        <w:rPr>
          <w:rFonts w:asciiTheme="majorHAnsi" w:hAnsiTheme="majorHAnsi"/>
          <w:sz w:val="20"/>
          <w:szCs w:val="20"/>
          <w:lang w:val="en-GB"/>
        </w:rPr>
        <w:t>development</w:t>
      </w:r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of the </w:t>
      </w:r>
      <w:proofErr w:type="spellStart"/>
      <w:r w:rsidR="00AB3F3E" w:rsidRPr="00F02FCC">
        <w:rPr>
          <w:rFonts w:asciiTheme="majorHAnsi" w:hAnsiTheme="majorHAnsi"/>
          <w:sz w:val="20"/>
          <w:szCs w:val="20"/>
          <w:lang w:val="en-GB"/>
        </w:rPr>
        <w:t>trabeculae</w:t>
      </w:r>
      <w:proofErr w:type="spellEnd"/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or the </w:t>
      </w:r>
      <w:proofErr w:type="spellStart"/>
      <w:r w:rsidR="00AB3F3E" w:rsidRPr="00F02FCC">
        <w:rPr>
          <w:rFonts w:asciiTheme="majorHAnsi" w:hAnsiTheme="majorHAnsi"/>
          <w:sz w:val="20"/>
          <w:szCs w:val="20"/>
          <w:lang w:val="en-GB"/>
        </w:rPr>
        <w:t>intertrabecular</w:t>
      </w:r>
      <w:proofErr w:type="spellEnd"/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spaces</w:t>
      </w:r>
      <w:r w:rsidR="00AB3F3E">
        <w:rPr>
          <w:rFonts w:asciiTheme="majorHAnsi" w:hAnsiTheme="majorHAnsi"/>
          <w:sz w:val="20"/>
          <w:szCs w:val="20"/>
          <w:lang w:val="en-GB"/>
        </w:rPr>
        <w:t xml:space="preserve"> are concerned,</w:t>
      </w:r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there are no differences </w:t>
      </w:r>
      <w:r w:rsidR="00AB3F3E">
        <w:rPr>
          <w:rFonts w:asciiTheme="majorHAnsi" w:hAnsiTheme="majorHAnsi"/>
          <w:sz w:val="20"/>
          <w:szCs w:val="20"/>
          <w:lang w:val="en-GB"/>
        </w:rPr>
        <w:t xml:space="preserve">noted 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between the </w:t>
      </w:r>
      <w:proofErr w:type="spellStart"/>
      <w:r w:rsidR="003C30A8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3C30A8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>groups and th</w:t>
      </w:r>
      <w:r w:rsidR="003C30A8">
        <w:rPr>
          <w:rFonts w:asciiTheme="majorHAnsi" w:hAnsiTheme="majorHAnsi"/>
          <w:sz w:val="20"/>
          <w:szCs w:val="20"/>
          <w:lang w:val="en-GB"/>
        </w:rPr>
        <w:t>e non-</w:t>
      </w:r>
      <w:proofErr w:type="spellStart"/>
      <w:r w:rsidR="003C30A8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3C30A8">
        <w:rPr>
          <w:rFonts w:asciiTheme="majorHAnsi" w:hAnsiTheme="majorHAnsi"/>
          <w:sz w:val="20"/>
          <w:szCs w:val="20"/>
          <w:lang w:val="en-GB"/>
        </w:rPr>
        <w:t xml:space="preserve"> groups</w:t>
      </w:r>
      <w:r w:rsidR="00AB3F3E">
        <w:rPr>
          <w:rFonts w:asciiTheme="majorHAnsi" w:hAnsiTheme="majorHAnsi"/>
          <w:sz w:val="20"/>
          <w:szCs w:val="20"/>
          <w:lang w:val="en-GB"/>
        </w:rPr>
        <w:t xml:space="preserve">, with or without treatment, </w:t>
      </w:r>
      <w:r w:rsidR="00AB3F3E" w:rsidRPr="00F02FCC">
        <w:rPr>
          <w:rFonts w:asciiTheme="majorHAnsi" w:hAnsiTheme="majorHAnsi"/>
          <w:sz w:val="20"/>
          <w:szCs w:val="20"/>
          <w:lang w:val="en-GB"/>
        </w:rPr>
        <w:t>a</w:t>
      </w:r>
      <w:r w:rsidR="00AB3F3E">
        <w:rPr>
          <w:rFonts w:asciiTheme="majorHAnsi" w:hAnsiTheme="majorHAnsi"/>
          <w:sz w:val="20"/>
          <w:szCs w:val="20"/>
          <w:lang w:val="en-GB"/>
        </w:rPr>
        <w:t>fter</w:t>
      </w:r>
      <w:r w:rsidR="00AB3F3E" w:rsidRPr="00F02FCC">
        <w:rPr>
          <w:rFonts w:asciiTheme="majorHAnsi" w:hAnsiTheme="majorHAnsi"/>
          <w:sz w:val="20"/>
          <w:szCs w:val="20"/>
          <w:lang w:val="en-GB"/>
        </w:rPr>
        <w:t xml:space="preserve"> 2 weeks</w:t>
      </w:r>
      <w:r w:rsidR="00422636">
        <w:rPr>
          <w:rFonts w:asciiTheme="majorHAnsi" w:hAnsiTheme="majorHAnsi"/>
          <w:sz w:val="20"/>
          <w:szCs w:val="20"/>
          <w:lang w:val="en-GB"/>
        </w:rPr>
        <w:t>;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77AB1">
        <w:rPr>
          <w:rFonts w:asciiTheme="majorHAnsi" w:hAnsiTheme="majorHAnsi"/>
          <w:sz w:val="20"/>
          <w:szCs w:val="20"/>
          <w:lang w:val="en-GB"/>
        </w:rPr>
        <w:t>noticeable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differences </w:t>
      </w:r>
      <w:r w:rsidR="00377AB1">
        <w:rPr>
          <w:rFonts w:asciiTheme="majorHAnsi" w:hAnsiTheme="majorHAnsi"/>
          <w:sz w:val="20"/>
          <w:szCs w:val="20"/>
          <w:lang w:val="en-GB"/>
        </w:rPr>
        <w:t>concerning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r w:rsidR="00D7240B">
        <w:rPr>
          <w:rFonts w:asciiTheme="majorHAnsi" w:hAnsiTheme="majorHAnsi"/>
          <w:sz w:val="20"/>
          <w:szCs w:val="20"/>
          <w:lang w:val="en-GB"/>
        </w:rPr>
        <w:t>development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of the pores </w:t>
      </w:r>
      <w:r w:rsidR="00377AB1" w:rsidRPr="00F02FCC">
        <w:rPr>
          <w:rFonts w:asciiTheme="majorHAnsi" w:hAnsiTheme="majorHAnsi"/>
          <w:sz w:val="20"/>
          <w:szCs w:val="20"/>
          <w:lang w:val="en-GB"/>
        </w:rPr>
        <w:t>started to appear as of the fourth week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, and, as far as the </w:t>
      </w:r>
      <w:r w:rsidR="00D7240B">
        <w:rPr>
          <w:rFonts w:asciiTheme="majorHAnsi" w:hAnsiTheme="majorHAnsi"/>
          <w:sz w:val="20"/>
          <w:szCs w:val="20"/>
          <w:lang w:val="en-GB"/>
        </w:rPr>
        <w:t>development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of the </w:t>
      </w:r>
      <w:proofErr w:type="spellStart"/>
      <w:r w:rsidR="00A54520" w:rsidRPr="00F02FCC">
        <w:rPr>
          <w:rFonts w:asciiTheme="majorHAnsi" w:hAnsiTheme="majorHAnsi"/>
          <w:sz w:val="20"/>
          <w:szCs w:val="20"/>
          <w:lang w:val="en-GB"/>
        </w:rPr>
        <w:t>trabeculae</w:t>
      </w:r>
      <w:proofErr w:type="spellEnd"/>
      <w:r w:rsidR="00A54520" w:rsidRPr="00F02FCC">
        <w:rPr>
          <w:rFonts w:asciiTheme="majorHAnsi" w:hAnsiTheme="majorHAnsi"/>
          <w:sz w:val="20"/>
          <w:szCs w:val="20"/>
          <w:lang w:val="en-GB"/>
        </w:rPr>
        <w:t xml:space="preserve"> is concerned</w:t>
      </w:r>
      <w:r w:rsidR="00377AB1">
        <w:rPr>
          <w:rFonts w:asciiTheme="majorHAnsi" w:hAnsiTheme="majorHAnsi"/>
          <w:sz w:val="20"/>
          <w:szCs w:val="20"/>
          <w:lang w:val="en-GB"/>
        </w:rPr>
        <w:t>, differences were noted</w:t>
      </w:r>
      <w:r w:rsidR="00F561FE" w:rsidRPr="00F561FE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F561FE" w:rsidRPr="00F02FCC">
        <w:rPr>
          <w:rFonts w:asciiTheme="majorHAnsi" w:hAnsiTheme="majorHAnsi"/>
          <w:sz w:val="20"/>
          <w:szCs w:val="20"/>
          <w:lang w:val="en-GB"/>
        </w:rPr>
        <w:t xml:space="preserve">in the groups under </w:t>
      </w:r>
      <w:r w:rsidR="00B23EE2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F561FE" w:rsidRPr="00F02FCC">
        <w:rPr>
          <w:rFonts w:asciiTheme="majorHAnsi" w:hAnsiTheme="majorHAnsi"/>
          <w:sz w:val="20"/>
          <w:szCs w:val="20"/>
          <w:lang w:val="en-GB"/>
        </w:rPr>
        <w:t>lipid-lowering treatment</w:t>
      </w:r>
      <w:r w:rsidR="00377AB1">
        <w:rPr>
          <w:rFonts w:asciiTheme="majorHAnsi" w:hAnsiTheme="majorHAnsi"/>
          <w:sz w:val="20"/>
          <w:szCs w:val="20"/>
          <w:lang w:val="en-GB"/>
        </w:rPr>
        <w:t xml:space="preserve"> by the sixth week</w:t>
      </w:r>
      <w:r w:rsidR="00A54520" w:rsidRPr="00F02FCC">
        <w:rPr>
          <w:rFonts w:asciiTheme="majorHAnsi" w:hAnsiTheme="majorHAnsi"/>
          <w:sz w:val="20"/>
          <w:szCs w:val="20"/>
          <w:lang w:val="en-GB"/>
        </w:rPr>
        <w:t>.</w:t>
      </w:r>
      <w:r w:rsidR="00AB2FD1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>
        <w:rPr>
          <w:rFonts w:asciiTheme="majorHAnsi" w:hAnsiTheme="majorHAnsi"/>
          <w:sz w:val="20"/>
          <w:szCs w:val="20"/>
          <w:lang w:val="en-GB"/>
        </w:rPr>
        <w:t>If,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a</w:t>
      </w:r>
      <w:r w:rsidR="001604B8">
        <w:rPr>
          <w:rFonts w:asciiTheme="majorHAnsi" w:hAnsiTheme="majorHAnsi"/>
          <w:sz w:val="20"/>
          <w:szCs w:val="20"/>
          <w:lang w:val="en-GB"/>
        </w:rPr>
        <w:t>fter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8 weeks, there were no significant differences concerning the si</w:t>
      </w:r>
      <w:r w:rsidR="001604B8">
        <w:rPr>
          <w:rFonts w:asciiTheme="majorHAnsi" w:hAnsiTheme="majorHAnsi"/>
          <w:sz w:val="20"/>
          <w:szCs w:val="20"/>
          <w:lang w:val="en-GB"/>
        </w:rPr>
        <w:t xml:space="preserve">ze and density of the </w:t>
      </w:r>
      <w:proofErr w:type="spellStart"/>
      <w:r w:rsidR="001604B8">
        <w:rPr>
          <w:rFonts w:asciiTheme="majorHAnsi" w:hAnsiTheme="majorHAnsi"/>
          <w:sz w:val="20"/>
          <w:szCs w:val="20"/>
          <w:lang w:val="en-GB"/>
        </w:rPr>
        <w:t>trabeculae</w:t>
      </w:r>
      <w:proofErr w:type="spellEnd"/>
      <w:r w:rsidR="001604B8" w:rsidRPr="009C2EB4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>in the</w:t>
      </w:r>
      <w:r w:rsidR="001604B8">
        <w:rPr>
          <w:rFonts w:asciiTheme="majorHAnsi" w:hAnsiTheme="majorHAnsi"/>
          <w:sz w:val="20"/>
          <w:szCs w:val="20"/>
          <w:lang w:val="en-GB"/>
        </w:rPr>
        <w:t xml:space="preserve"> non-</w:t>
      </w:r>
      <w:proofErr w:type="spellStart"/>
      <w:r w:rsidR="001604B8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group, the size of the pores</w:t>
      </w:r>
      <w:r w:rsidR="001604B8" w:rsidRPr="007C3110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>
        <w:rPr>
          <w:rFonts w:asciiTheme="majorHAnsi" w:hAnsiTheme="majorHAnsi"/>
          <w:sz w:val="20"/>
          <w:szCs w:val="20"/>
          <w:lang w:val="en-GB"/>
        </w:rPr>
        <w:t>increased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>
        <w:rPr>
          <w:rFonts w:asciiTheme="majorHAnsi" w:hAnsiTheme="majorHAnsi"/>
          <w:sz w:val="20"/>
          <w:szCs w:val="20"/>
          <w:lang w:val="en-GB"/>
        </w:rPr>
        <w:t>by a comparable rate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in the groups </w:t>
      </w:r>
      <w:r w:rsidR="001604B8">
        <w:rPr>
          <w:rFonts w:asciiTheme="majorHAnsi" w:hAnsiTheme="majorHAnsi"/>
          <w:sz w:val="20"/>
          <w:szCs w:val="20"/>
          <w:lang w:val="en-GB"/>
        </w:rPr>
        <w:t>receiving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the treatment compared with the witness group, whereas </w:t>
      </w:r>
      <w:r w:rsidR="001604B8">
        <w:rPr>
          <w:rFonts w:asciiTheme="majorHAnsi" w:hAnsiTheme="majorHAnsi"/>
          <w:sz w:val="20"/>
          <w:szCs w:val="20"/>
          <w:lang w:val="en-GB"/>
        </w:rPr>
        <w:t>the opposite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>
        <w:rPr>
          <w:rFonts w:asciiTheme="majorHAnsi" w:hAnsiTheme="majorHAnsi"/>
          <w:sz w:val="20"/>
          <w:szCs w:val="20"/>
          <w:lang w:val="en-GB"/>
        </w:rPr>
        <w:t>effect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>
        <w:rPr>
          <w:rFonts w:asciiTheme="majorHAnsi" w:hAnsiTheme="majorHAnsi"/>
          <w:sz w:val="20"/>
          <w:szCs w:val="20"/>
          <w:lang w:val="en-GB"/>
        </w:rPr>
        <w:t>was noted</w:t>
      </w:r>
      <w:r w:rsidR="001604B8" w:rsidRPr="001E076D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in the </w:t>
      </w:r>
      <w:proofErr w:type="spellStart"/>
      <w:r w:rsidR="001604B8">
        <w:rPr>
          <w:rFonts w:asciiTheme="majorHAnsi" w:hAnsiTheme="majorHAnsi"/>
          <w:sz w:val="20"/>
          <w:szCs w:val="20"/>
          <w:lang w:val="en-GB"/>
        </w:rPr>
        <w:t>ovariectomized</w:t>
      </w:r>
      <w:proofErr w:type="spellEnd"/>
      <w:r w:rsidR="001604B8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>group,</w:t>
      </w:r>
      <w:r w:rsidR="001604B8">
        <w:rPr>
          <w:rFonts w:asciiTheme="majorHAnsi" w:hAnsiTheme="majorHAnsi"/>
          <w:sz w:val="20"/>
          <w:szCs w:val="20"/>
          <w:lang w:val="en-GB"/>
        </w:rPr>
        <w:t xml:space="preserve"> i.e.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r w:rsidR="001604B8">
        <w:rPr>
          <w:rFonts w:asciiTheme="majorHAnsi" w:hAnsiTheme="majorHAnsi"/>
          <w:sz w:val="20"/>
          <w:szCs w:val="20"/>
          <w:lang w:val="en-GB"/>
        </w:rPr>
        <w:t xml:space="preserve">size of the 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pores </w:t>
      </w:r>
      <w:r w:rsidR="001604B8">
        <w:rPr>
          <w:rFonts w:asciiTheme="majorHAnsi" w:hAnsiTheme="majorHAnsi"/>
          <w:sz w:val="20"/>
          <w:szCs w:val="20"/>
          <w:lang w:val="en-GB"/>
        </w:rPr>
        <w:t>decreased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in the groups </w:t>
      </w:r>
      <w:r w:rsidR="001604B8">
        <w:rPr>
          <w:rFonts w:asciiTheme="majorHAnsi" w:hAnsiTheme="majorHAnsi"/>
          <w:sz w:val="20"/>
          <w:szCs w:val="20"/>
          <w:lang w:val="en-GB"/>
        </w:rPr>
        <w:t>receiving</w:t>
      </w:r>
      <w:r w:rsidR="001604B8" w:rsidRPr="00F02FCC">
        <w:rPr>
          <w:rFonts w:asciiTheme="majorHAnsi" w:hAnsiTheme="majorHAnsi"/>
          <w:sz w:val="20"/>
          <w:szCs w:val="20"/>
          <w:lang w:val="en-GB"/>
        </w:rPr>
        <w:t xml:space="preserve"> the lipid-lowering treatment.</w:t>
      </w:r>
    </w:p>
    <w:p w:rsidR="000120D2" w:rsidRPr="00F02FCC" w:rsidRDefault="00FD53F9" w:rsidP="00AB2FD1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1D transverse relaxation time distributions revealed </w:t>
      </w:r>
      <w:r w:rsidR="007B5D25">
        <w:rPr>
          <w:rFonts w:asciiTheme="majorHAnsi" w:hAnsiTheme="majorHAnsi"/>
          <w:sz w:val="20"/>
          <w:szCs w:val="20"/>
          <w:lang w:val="en-GB"/>
        </w:rPr>
        <w:t>that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pores </w:t>
      </w:r>
      <w:r w:rsidR="00787BA7">
        <w:rPr>
          <w:rFonts w:asciiTheme="majorHAnsi" w:hAnsiTheme="majorHAnsi"/>
          <w:sz w:val="20"/>
          <w:szCs w:val="20"/>
          <w:lang w:val="en-GB"/>
        </w:rPr>
        <w:t>in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three femur segments</w:t>
      </w:r>
      <w:r w:rsidR="007B5D25">
        <w:rPr>
          <w:rFonts w:asciiTheme="majorHAnsi" w:hAnsiTheme="majorHAnsi"/>
          <w:sz w:val="20"/>
          <w:szCs w:val="20"/>
          <w:lang w:val="en-GB"/>
        </w:rPr>
        <w:t xml:space="preserve"> were </w:t>
      </w:r>
      <w:proofErr w:type="spellStart"/>
      <w:r w:rsidR="007B5D25">
        <w:rPr>
          <w:rFonts w:asciiTheme="majorHAnsi" w:hAnsiTheme="majorHAnsi"/>
          <w:sz w:val="20"/>
          <w:szCs w:val="20"/>
          <w:lang w:val="en-GB"/>
        </w:rPr>
        <w:t>hierarchized</w:t>
      </w:r>
      <w:proofErr w:type="spellEnd"/>
      <w:r w:rsidR="007B5D25">
        <w:rPr>
          <w:rFonts w:asciiTheme="majorHAnsi" w:hAnsiTheme="majorHAnsi"/>
          <w:sz w:val="20"/>
          <w:szCs w:val="20"/>
          <w:lang w:val="en-GB"/>
        </w:rPr>
        <w:t xml:space="preserve"> in a similar manner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7B5D25">
        <w:rPr>
          <w:rFonts w:asciiTheme="majorHAnsi" w:hAnsiTheme="majorHAnsi"/>
          <w:sz w:val="20"/>
          <w:szCs w:val="20"/>
          <w:lang w:val="en-GB"/>
        </w:rPr>
        <w:t>and that the</w:t>
      </w:r>
      <w:r w:rsidR="001A65A0">
        <w:rPr>
          <w:rFonts w:asciiTheme="majorHAnsi" w:hAnsiTheme="majorHAnsi"/>
          <w:sz w:val="20"/>
          <w:szCs w:val="20"/>
          <w:lang w:val="en-GB"/>
        </w:rPr>
        <w:t>y are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better </w:t>
      </w:r>
      <w:r w:rsidR="0016082B">
        <w:rPr>
          <w:rFonts w:asciiTheme="majorHAnsi" w:hAnsiTheme="majorHAnsi"/>
          <w:sz w:val="20"/>
          <w:szCs w:val="20"/>
          <w:lang w:val="en-GB"/>
        </w:rPr>
        <w:t>inter</w:t>
      </w:r>
      <w:r w:rsidRPr="00F02FCC">
        <w:rPr>
          <w:rFonts w:asciiTheme="majorHAnsi" w:hAnsiTheme="majorHAnsi"/>
          <w:sz w:val="20"/>
          <w:szCs w:val="20"/>
          <w:lang w:val="en-GB"/>
        </w:rPr>
        <w:t>connect</w:t>
      </w:r>
      <w:r w:rsidR="001A65A0">
        <w:rPr>
          <w:rFonts w:asciiTheme="majorHAnsi" w:hAnsiTheme="majorHAnsi"/>
          <w:sz w:val="20"/>
          <w:szCs w:val="20"/>
          <w:lang w:val="en-GB"/>
        </w:rPr>
        <w:t>ed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at the level of the proximal epiphysis.</w:t>
      </w:r>
    </w:p>
    <w:p w:rsidR="00714A29" w:rsidRPr="00F02FCC" w:rsidRDefault="00DE6A88" w:rsidP="00714A29">
      <w:pPr>
        <w:pStyle w:val="textCharCharChar"/>
        <w:spacing w:before="120" w:after="0" w:line="276" w:lineRule="auto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>The data obtained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by </w:t>
      </w:r>
      <w:r w:rsidR="00AD103D" w:rsidRPr="00F02FCC">
        <w:rPr>
          <w:rFonts w:asciiTheme="majorHAnsi" w:hAnsiTheme="majorHAnsi"/>
          <w:sz w:val="20"/>
          <w:szCs w:val="20"/>
          <w:lang w:val="en-GB"/>
        </w:rPr>
        <w:t xml:space="preserve">(1D) and (2D) </w:t>
      </w:r>
      <w:r w:rsidR="002E40C9" w:rsidRPr="00F02FCC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H </w:t>
      </w:r>
      <w:r w:rsidR="00C416ED">
        <w:rPr>
          <w:rFonts w:asciiTheme="majorHAnsi" w:hAnsiTheme="majorHAnsi"/>
          <w:sz w:val="20"/>
          <w:szCs w:val="20"/>
          <w:lang w:val="en-GB"/>
        </w:rPr>
        <w:t>NMR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transverse </w:t>
      </w:r>
      <w:proofErr w:type="spellStart"/>
      <w:r w:rsidR="002E40C9" w:rsidRPr="00F02FCC">
        <w:rPr>
          <w:rFonts w:asciiTheme="majorHAnsi" w:hAnsiTheme="majorHAnsi"/>
          <w:sz w:val="20"/>
          <w:szCs w:val="20"/>
          <w:lang w:val="en-GB"/>
        </w:rPr>
        <w:t>relaxometry</w:t>
      </w:r>
      <w:proofErr w:type="spellEnd"/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C416ED">
        <w:rPr>
          <w:rFonts w:asciiTheme="majorHAnsi" w:hAnsiTheme="majorHAnsi"/>
          <w:sz w:val="20"/>
          <w:szCs w:val="20"/>
          <w:lang w:val="en-GB"/>
        </w:rPr>
        <w:t xml:space="preserve">confirmed 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that the most efficient method </w:t>
      </w:r>
      <w:r w:rsidR="00C416ED">
        <w:rPr>
          <w:rFonts w:asciiTheme="majorHAnsi" w:hAnsiTheme="majorHAnsi"/>
          <w:sz w:val="20"/>
          <w:szCs w:val="20"/>
          <w:lang w:val="en-GB"/>
        </w:rPr>
        <w:t xml:space="preserve">to </w:t>
      </w:r>
      <w:r w:rsidR="00706FAB">
        <w:rPr>
          <w:rFonts w:asciiTheme="majorHAnsi" w:hAnsiTheme="majorHAnsi"/>
          <w:sz w:val="20"/>
          <w:szCs w:val="20"/>
          <w:lang w:val="en-GB"/>
        </w:rPr>
        <w:t>support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bone architecture </w:t>
      </w:r>
      <w:r w:rsidR="00E91C50">
        <w:rPr>
          <w:rFonts w:asciiTheme="majorHAnsi" w:hAnsiTheme="majorHAnsi"/>
          <w:sz w:val="20"/>
          <w:szCs w:val="20"/>
          <w:lang w:val="en-GB"/>
        </w:rPr>
        <w:t>in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the bone</w:t>
      </w:r>
      <w:r w:rsidR="00E91C50">
        <w:rPr>
          <w:rFonts w:asciiTheme="majorHAnsi" w:hAnsiTheme="majorHAnsi"/>
          <w:sz w:val="20"/>
          <w:szCs w:val="20"/>
          <w:lang w:val="en-GB"/>
        </w:rPr>
        <w:t>s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affected by osteoporosis</w:t>
      </w:r>
      <w:r w:rsidR="00E91C50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91C50" w:rsidRPr="00F02FCC">
        <w:rPr>
          <w:rFonts w:asciiTheme="majorHAnsi" w:hAnsiTheme="majorHAnsi"/>
          <w:sz w:val="20"/>
          <w:szCs w:val="20"/>
          <w:lang w:val="en-GB"/>
        </w:rPr>
        <w:t xml:space="preserve">is the </w:t>
      </w:r>
      <w:proofErr w:type="spellStart"/>
      <w:r w:rsidR="00E91C50" w:rsidRPr="00F02FCC">
        <w:rPr>
          <w:rFonts w:asciiTheme="majorHAnsi" w:hAnsiTheme="majorHAnsi"/>
          <w:sz w:val="20"/>
          <w:szCs w:val="20"/>
          <w:lang w:val="en-GB"/>
        </w:rPr>
        <w:t>simvastatin</w:t>
      </w:r>
      <w:proofErr w:type="spellEnd"/>
      <w:r w:rsidR="00E91C50" w:rsidRPr="00F02FCC">
        <w:rPr>
          <w:rFonts w:asciiTheme="majorHAnsi" w:hAnsiTheme="majorHAnsi"/>
          <w:sz w:val="20"/>
          <w:szCs w:val="20"/>
          <w:lang w:val="en-GB"/>
        </w:rPr>
        <w:t xml:space="preserve"> treatment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. On the other hand, </w:t>
      </w:r>
      <w:r w:rsidR="00E93F65">
        <w:rPr>
          <w:rFonts w:asciiTheme="majorHAnsi" w:hAnsiTheme="majorHAnsi"/>
          <w:sz w:val="20"/>
          <w:szCs w:val="20"/>
          <w:lang w:val="en-GB"/>
        </w:rPr>
        <w:t xml:space="preserve">the same drug causes certain </w:t>
      </w:r>
      <w:r w:rsidR="006B578E">
        <w:rPr>
          <w:rFonts w:asciiTheme="majorHAnsi" w:hAnsiTheme="majorHAnsi"/>
          <w:sz w:val="20"/>
          <w:szCs w:val="20"/>
          <w:lang w:val="en-GB"/>
        </w:rPr>
        <w:t>negative</w:t>
      </w:r>
      <w:r w:rsidR="00E93F65">
        <w:rPr>
          <w:rFonts w:asciiTheme="majorHAnsi" w:hAnsiTheme="majorHAnsi"/>
          <w:sz w:val="20"/>
          <w:szCs w:val="20"/>
          <w:lang w:val="en-GB"/>
        </w:rPr>
        <w:t xml:space="preserve"> effects when </w:t>
      </w:r>
      <w:r w:rsidR="00E40E26">
        <w:rPr>
          <w:rFonts w:asciiTheme="majorHAnsi" w:hAnsiTheme="majorHAnsi"/>
          <w:sz w:val="20"/>
          <w:szCs w:val="20"/>
          <w:lang w:val="en-GB"/>
        </w:rPr>
        <w:t>administered to</w:t>
      </w:r>
      <w:r w:rsidR="00B61C9E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healthy </w:t>
      </w:r>
      <w:r w:rsidR="00E40E26">
        <w:rPr>
          <w:rFonts w:asciiTheme="majorHAnsi" w:hAnsiTheme="majorHAnsi"/>
          <w:sz w:val="20"/>
          <w:szCs w:val="20"/>
          <w:lang w:val="en-GB"/>
        </w:rPr>
        <w:t>subjects</w:t>
      </w:r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. The same negative effect is noted in the case of the </w:t>
      </w:r>
      <w:proofErr w:type="spellStart"/>
      <w:r w:rsidR="002E40C9" w:rsidRPr="00F02FCC">
        <w:rPr>
          <w:rFonts w:asciiTheme="majorHAnsi" w:hAnsiTheme="majorHAnsi"/>
          <w:sz w:val="20"/>
          <w:szCs w:val="20"/>
          <w:lang w:val="en-GB"/>
        </w:rPr>
        <w:t>fenofibrate</w:t>
      </w:r>
      <w:proofErr w:type="spellEnd"/>
      <w:r w:rsidR="002E40C9" w:rsidRPr="00F02FCC">
        <w:rPr>
          <w:rFonts w:asciiTheme="majorHAnsi" w:hAnsiTheme="majorHAnsi"/>
          <w:sz w:val="20"/>
          <w:szCs w:val="20"/>
          <w:lang w:val="en-GB"/>
        </w:rPr>
        <w:t xml:space="preserve"> treatment administered to </w:t>
      </w:r>
      <w:r w:rsidR="00CE56B8" w:rsidRPr="00F02FCC">
        <w:rPr>
          <w:rFonts w:asciiTheme="majorHAnsi" w:hAnsiTheme="majorHAnsi"/>
          <w:sz w:val="20"/>
          <w:szCs w:val="20"/>
          <w:lang w:val="en-GB"/>
        </w:rPr>
        <w:t>non-</w:t>
      </w:r>
      <w:proofErr w:type="spellStart"/>
      <w:r w:rsidR="00CE56B8" w:rsidRPr="00F02FCC">
        <w:rPr>
          <w:rFonts w:asciiTheme="majorHAnsi" w:hAnsiTheme="majorHAnsi"/>
          <w:sz w:val="20"/>
          <w:szCs w:val="20"/>
          <w:lang w:val="en-GB"/>
        </w:rPr>
        <w:lastRenderedPageBreak/>
        <w:t>ovariectomized</w:t>
      </w:r>
      <w:proofErr w:type="spellEnd"/>
      <w:r w:rsidR="00CE56B8" w:rsidRPr="00F02FCC">
        <w:rPr>
          <w:rFonts w:asciiTheme="majorHAnsi" w:hAnsiTheme="majorHAnsi"/>
          <w:sz w:val="20"/>
          <w:szCs w:val="20"/>
          <w:lang w:val="en-GB"/>
        </w:rPr>
        <w:t xml:space="preserve"> rats, </w:t>
      </w:r>
      <w:r w:rsidR="00BC6CA4">
        <w:rPr>
          <w:rFonts w:asciiTheme="majorHAnsi" w:hAnsiTheme="majorHAnsi"/>
          <w:sz w:val="20"/>
          <w:szCs w:val="20"/>
          <w:lang w:val="en-GB"/>
        </w:rPr>
        <w:t xml:space="preserve">thus </w:t>
      </w:r>
      <w:r w:rsidR="00460769">
        <w:rPr>
          <w:rFonts w:asciiTheme="majorHAnsi" w:hAnsiTheme="majorHAnsi"/>
          <w:sz w:val="20"/>
          <w:szCs w:val="20"/>
          <w:lang w:val="en-GB"/>
        </w:rPr>
        <w:t>leading to</w:t>
      </w:r>
      <w:r w:rsidR="00BC6CA4">
        <w:rPr>
          <w:rFonts w:asciiTheme="majorHAnsi" w:hAnsiTheme="majorHAnsi"/>
          <w:sz w:val="20"/>
          <w:szCs w:val="20"/>
          <w:lang w:val="en-GB"/>
        </w:rPr>
        <w:t xml:space="preserve"> the conclusion</w:t>
      </w:r>
      <w:r w:rsidR="00CE56B8" w:rsidRPr="00F02FCC">
        <w:rPr>
          <w:rFonts w:asciiTheme="majorHAnsi" w:hAnsiTheme="majorHAnsi"/>
          <w:sz w:val="20"/>
          <w:szCs w:val="20"/>
          <w:lang w:val="en-GB"/>
        </w:rPr>
        <w:t xml:space="preserve"> that long-term treatment with </w:t>
      </w:r>
      <w:proofErr w:type="spellStart"/>
      <w:r w:rsidR="00CE56B8" w:rsidRPr="00F02FCC">
        <w:rPr>
          <w:rFonts w:asciiTheme="majorHAnsi" w:hAnsiTheme="majorHAnsi"/>
          <w:sz w:val="20"/>
          <w:szCs w:val="20"/>
          <w:lang w:val="en-GB"/>
        </w:rPr>
        <w:t>fenofibrates</w:t>
      </w:r>
      <w:proofErr w:type="spellEnd"/>
      <w:r w:rsidR="00CE56B8" w:rsidRPr="00F02FCC">
        <w:rPr>
          <w:rFonts w:asciiTheme="majorHAnsi" w:hAnsiTheme="majorHAnsi"/>
          <w:sz w:val="20"/>
          <w:szCs w:val="20"/>
          <w:lang w:val="en-GB"/>
        </w:rPr>
        <w:t xml:space="preserve"> is more harmful than that with </w:t>
      </w:r>
      <w:proofErr w:type="spellStart"/>
      <w:r w:rsidR="00CE56B8" w:rsidRPr="00F02FCC">
        <w:rPr>
          <w:rFonts w:asciiTheme="majorHAnsi" w:hAnsiTheme="majorHAnsi"/>
          <w:sz w:val="20"/>
          <w:szCs w:val="20"/>
          <w:lang w:val="en-GB"/>
        </w:rPr>
        <w:t>statins</w:t>
      </w:r>
      <w:proofErr w:type="spellEnd"/>
      <w:r w:rsidR="00CE56B8" w:rsidRPr="00F02FCC">
        <w:rPr>
          <w:rFonts w:asciiTheme="majorHAnsi" w:hAnsiTheme="majorHAnsi"/>
          <w:sz w:val="20"/>
          <w:szCs w:val="20"/>
          <w:lang w:val="en-GB"/>
        </w:rPr>
        <w:t>.</w:t>
      </w:r>
      <w:r w:rsidR="00714A29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714A29" w:rsidRPr="00F02FCC" w:rsidRDefault="00EF4A62" w:rsidP="00714A29">
      <w:pPr>
        <w:pStyle w:val="textCharCharChar"/>
        <w:spacing w:before="120" w:after="0" w:line="276" w:lineRule="auto"/>
        <w:rPr>
          <w:rFonts w:asciiTheme="majorHAnsi" w:hAnsiTheme="majorHAnsi"/>
          <w:b/>
          <w:sz w:val="20"/>
          <w:szCs w:val="20"/>
          <w:lang w:val="en-GB"/>
        </w:rPr>
      </w:pPr>
      <w:r w:rsidRPr="00F02FCC">
        <w:rPr>
          <w:rFonts w:asciiTheme="majorHAnsi" w:hAnsiTheme="majorHAnsi"/>
          <w:b/>
          <w:sz w:val="20"/>
          <w:szCs w:val="20"/>
          <w:lang w:val="en-GB"/>
        </w:rPr>
        <w:t>Conclu</w:t>
      </w:r>
      <w:r w:rsidR="00CE56B8" w:rsidRPr="00F02FCC">
        <w:rPr>
          <w:rFonts w:asciiTheme="majorHAnsi" w:hAnsiTheme="majorHAnsi"/>
          <w:b/>
          <w:sz w:val="20"/>
          <w:szCs w:val="20"/>
          <w:lang w:val="en-GB"/>
        </w:rPr>
        <w:t>sions</w:t>
      </w:r>
    </w:p>
    <w:p w:rsidR="00EF4A62" w:rsidRPr="00F02FCC" w:rsidRDefault="00765604" w:rsidP="00EF4A62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Proper correlation</w:t>
      </w:r>
      <w:r w:rsidR="001872FE">
        <w:rPr>
          <w:rFonts w:asciiTheme="majorHAnsi" w:hAnsiTheme="majorHAnsi"/>
          <w:sz w:val="20"/>
          <w:szCs w:val="20"/>
          <w:lang w:val="en-GB"/>
        </w:rPr>
        <w:t>s</w:t>
      </w:r>
      <w:r>
        <w:rPr>
          <w:rFonts w:asciiTheme="majorHAnsi" w:hAnsiTheme="majorHAnsi"/>
          <w:sz w:val="20"/>
          <w:szCs w:val="20"/>
          <w:lang w:val="en-GB"/>
        </w:rPr>
        <w:t xml:space="preserve"> can be noted between t</w:t>
      </w:r>
      <w:r w:rsidR="00CE56B8" w:rsidRPr="00F02FCC">
        <w:rPr>
          <w:rFonts w:asciiTheme="majorHAnsi" w:hAnsiTheme="majorHAnsi"/>
          <w:sz w:val="20"/>
          <w:szCs w:val="20"/>
          <w:lang w:val="en-GB"/>
        </w:rPr>
        <w:t>he results of the radiological and the histological assessment</w:t>
      </w:r>
      <w:r w:rsidR="00380885">
        <w:rPr>
          <w:rFonts w:asciiTheme="majorHAnsi" w:hAnsiTheme="majorHAnsi"/>
          <w:sz w:val="20"/>
          <w:szCs w:val="20"/>
          <w:lang w:val="en-GB"/>
        </w:rPr>
        <w:t xml:space="preserve"> of callus formation</w:t>
      </w:r>
      <w:r w:rsidR="00CE56B8" w:rsidRPr="00F02FCC">
        <w:rPr>
          <w:rFonts w:asciiTheme="majorHAnsi" w:hAnsiTheme="majorHAnsi"/>
          <w:sz w:val="20"/>
          <w:szCs w:val="20"/>
          <w:lang w:val="en-GB"/>
        </w:rPr>
        <w:t xml:space="preserve">. Both methods </w:t>
      </w:r>
      <w:r w:rsidR="00F61436">
        <w:rPr>
          <w:rFonts w:asciiTheme="majorHAnsi" w:hAnsiTheme="majorHAnsi"/>
          <w:sz w:val="20"/>
          <w:szCs w:val="20"/>
          <w:lang w:val="en-GB"/>
        </w:rPr>
        <w:t>confirmed</w:t>
      </w:r>
      <w:r w:rsidR="00CE56B8" w:rsidRPr="00F02FCC">
        <w:rPr>
          <w:rFonts w:asciiTheme="majorHAnsi" w:hAnsiTheme="majorHAnsi"/>
          <w:sz w:val="20"/>
          <w:szCs w:val="20"/>
          <w:lang w:val="en-GB"/>
        </w:rPr>
        <w:t xml:space="preserve"> the positive effects of </w:t>
      </w:r>
      <w:proofErr w:type="spellStart"/>
      <w:r w:rsidR="00CE56B8" w:rsidRPr="00F02FCC">
        <w:rPr>
          <w:rFonts w:asciiTheme="majorHAnsi" w:hAnsiTheme="majorHAnsi"/>
          <w:sz w:val="20"/>
          <w:szCs w:val="20"/>
          <w:lang w:val="en-GB"/>
        </w:rPr>
        <w:t>simvastatin</w:t>
      </w:r>
      <w:proofErr w:type="spellEnd"/>
      <w:r w:rsidR="00CE56B8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AB2FD1" w:rsidRPr="00F02FCC" w:rsidRDefault="00904FA0" w:rsidP="00EF4A62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data resulted from the numerical analysis of the histological images, which assessed the </w:t>
      </w:r>
      <w:r w:rsidR="00E313E4">
        <w:rPr>
          <w:rFonts w:asciiTheme="majorHAnsi" w:hAnsiTheme="majorHAnsi"/>
          <w:sz w:val="20"/>
          <w:szCs w:val="20"/>
          <w:lang w:val="en-GB"/>
        </w:rPr>
        <w:t>modification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516B04">
        <w:rPr>
          <w:rFonts w:asciiTheme="majorHAnsi" w:hAnsiTheme="majorHAnsi"/>
          <w:sz w:val="20"/>
          <w:szCs w:val="20"/>
          <w:lang w:val="en-GB"/>
        </w:rPr>
        <w:t xml:space="preserve">rate 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of the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intertrabecular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gramStart"/>
      <w:r w:rsidRPr="00F02FCC">
        <w:rPr>
          <w:rFonts w:asciiTheme="majorHAnsi" w:hAnsiTheme="majorHAnsi"/>
          <w:sz w:val="20"/>
          <w:szCs w:val="20"/>
          <w:lang w:val="en-GB"/>
        </w:rPr>
        <w:t>spaces,</w:t>
      </w:r>
      <w:proofErr w:type="gramEnd"/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AD298A">
        <w:rPr>
          <w:rFonts w:asciiTheme="majorHAnsi" w:hAnsiTheme="majorHAnsi"/>
          <w:sz w:val="20"/>
          <w:szCs w:val="20"/>
          <w:lang w:val="en-GB"/>
        </w:rPr>
        <w:t>complement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histological analysis</w:t>
      </w:r>
      <w:r w:rsidR="00F2078D">
        <w:rPr>
          <w:rFonts w:asciiTheme="majorHAnsi" w:hAnsiTheme="majorHAnsi"/>
          <w:sz w:val="20"/>
          <w:szCs w:val="20"/>
          <w:lang w:val="en-GB"/>
        </w:rPr>
        <w:t>,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where the bone tissue assessment was based on the a</w:t>
      </w:r>
      <w:r w:rsidR="009E636A" w:rsidRPr="00F02FCC">
        <w:rPr>
          <w:rFonts w:asciiTheme="majorHAnsi" w:hAnsiTheme="majorHAnsi"/>
          <w:sz w:val="20"/>
          <w:szCs w:val="20"/>
          <w:lang w:val="en-GB"/>
        </w:rPr>
        <w:t xml:space="preserve">ppreciation of the bone </w:t>
      </w:r>
      <w:proofErr w:type="spellStart"/>
      <w:r w:rsidR="009E636A" w:rsidRPr="00F02FCC">
        <w:rPr>
          <w:rFonts w:asciiTheme="majorHAnsi" w:hAnsiTheme="majorHAnsi"/>
          <w:sz w:val="20"/>
          <w:szCs w:val="20"/>
          <w:lang w:val="en-GB"/>
        </w:rPr>
        <w:t>trabecu</w:t>
      </w:r>
      <w:r w:rsidRPr="00F02FCC">
        <w:rPr>
          <w:rFonts w:asciiTheme="majorHAnsi" w:hAnsiTheme="majorHAnsi"/>
          <w:sz w:val="20"/>
          <w:szCs w:val="20"/>
          <w:lang w:val="en-GB"/>
        </w:rPr>
        <w:t>l</w:t>
      </w:r>
      <w:r w:rsidR="009E636A" w:rsidRPr="00F02FCC">
        <w:rPr>
          <w:rFonts w:asciiTheme="majorHAnsi" w:hAnsiTheme="majorHAnsi"/>
          <w:sz w:val="20"/>
          <w:szCs w:val="20"/>
          <w:lang w:val="en-GB"/>
        </w:rPr>
        <w:t>a</w:t>
      </w:r>
      <w:r w:rsidRPr="00F02FCC">
        <w:rPr>
          <w:rFonts w:asciiTheme="majorHAnsi" w:hAnsiTheme="majorHAnsi"/>
          <w:sz w:val="20"/>
          <w:szCs w:val="20"/>
          <w:lang w:val="en-GB"/>
        </w:rPr>
        <w:t>e</w:t>
      </w:r>
      <w:proofErr w:type="spellEnd"/>
      <w:r w:rsidR="00F2078D">
        <w:rPr>
          <w:rFonts w:asciiTheme="majorHAnsi" w:hAnsiTheme="majorHAnsi"/>
          <w:sz w:val="20"/>
          <w:szCs w:val="20"/>
          <w:lang w:val="en-GB"/>
        </w:rPr>
        <w:t>,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allow</w:t>
      </w:r>
      <w:r w:rsidR="00F2078D">
        <w:rPr>
          <w:rFonts w:asciiTheme="majorHAnsi" w:hAnsiTheme="majorHAnsi"/>
          <w:sz w:val="20"/>
          <w:szCs w:val="20"/>
          <w:lang w:val="en-GB"/>
        </w:rPr>
        <w:t xml:space="preserve">ing 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a more complex </w:t>
      </w:r>
      <w:r w:rsidR="00F2078D">
        <w:rPr>
          <w:rFonts w:asciiTheme="majorHAnsi" w:hAnsiTheme="majorHAnsi"/>
          <w:sz w:val="20"/>
          <w:szCs w:val="20"/>
          <w:lang w:val="en-GB"/>
        </w:rPr>
        <w:t>evaluation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A94B5F">
        <w:rPr>
          <w:rFonts w:asciiTheme="majorHAnsi" w:hAnsiTheme="majorHAnsi"/>
          <w:sz w:val="20"/>
          <w:szCs w:val="20"/>
          <w:lang w:val="en-GB"/>
        </w:rPr>
        <w:t>of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the </w:t>
      </w:r>
      <w:r w:rsidR="003421EF">
        <w:rPr>
          <w:rFonts w:asciiTheme="majorHAnsi" w:hAnsiTheme="majorHAnsi"/>
          <w:sz w:val="20"/>
          <w:szCs w:val="20"/>
          <w:lang w:val="en-GB"/>
        </w:rPr>
        <w:t>degree of osteoporosis in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774CB">
        <w:rPr>
          <w:rFonts w:asciiTheme="majorHAnsi" w:hAnsiTheme="majorHAnsi"/>
          <w:sz w:val="20"/>
          <w:szCs w:val="20"/>
          <w:lang w:val="en-GB"/>
        </w:rPr>
        <w:t>said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tissue.</w:t>
      </w:r>
    </w:p>
    <w:p w:rsidR="000120D2" w:rsidRPr="00F02FCC" w:rsidRDefault="003449FD" w:rsidP="000120D2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Concerning pore connectivity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, the internal structure of the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proximal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 segment of the femur </w:t>
      </w:r>
      <w:r w:rsidR="00D70280">
        <w:rPr>
          <w:rFonts w:asciiTheme="majorHAnsi" w:hAnsiTheme="majorHAnsi"/>
          <w:sz w:val="20"/>
          <w:szCs w:val="20"/>
          <w:lang w:val="en-GB"/>
        </w:rPr>
        <w:t>differs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 from the structure of the </w:t>
      </w:r>
      <w:proofErr w:type="spellStart"/>
      <w:r w:rsidR="00CC4192" w:rsidRPr="00F02FCC">
        <w:rPr>
          <w:rFonts w:asciiTheme="majorHAnsi" w:hAnsiTheme="majorHAnsi"/>
          <w:sz w:val="20"/>
          <w:szCs w:val="20"/>
          <w:lang w:val="en-GB"/>
        </w:rPr>
        <w:t>diaphysis</w:t>
      </w:r>
      <w:proofErr w:type="spellEnd"/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 and </w:t>
      </w:r>
      <w:r w:rsidR="00641A61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distal epiphysis. The pores are better </w:t>
      </w:r>
      <w:r w:rsidR="00487652">
        <w:rPr>
          <w:rFonts w:asciiTheme="majorHAnsi" w:hAnsiTheme="majorHAnsi"/>
          <w:sz w:val="20"/>
          <w:szCs w:val="20"/>
          <w:lang w:val="en-GB"/>
        </w:rPr>
        <w:t>inter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connected, which explains the </w:t>
      </w:r>
      <w:r w:rsidR="00E8626D">
        <w:rPr>
          <w:rFonts w:asciiTheme="majorHAnsi" w:hAnsiTheme="majorHAnsi"/>
          <w:sz w:val="20"/>
          <w:szCs w:val="20"/>
          <w:lang w:val="en-GB"/>
        </w:rPr>
        <w:t xml:space="preserve">higher </w:t>
      </w:r>
      <w:r w:rsidR="00003F54">
        <w:rPr>
          <w:rFonts w:asciiTheme="majorHAnsi" w:hAnsiTheme="majorHAnsi"/>
          <w:sz w:val="20"/>
          <w:szCs w:val="20"/>
          <w:lang w:val="en-GB"/>
        </w:rPr>
        <w:t>rate</w:t>
      </w:r>
      <w:r w:rsidR="00E8626D">
        <w:rPr>
          <w:rFonts w:asciiTheme="majorHAnsi" w:hAnsiTheme="majorHAnsi"/>
          <w:sz w:val="20"/>
          <w:szCs w:val="20"/>
          <w:lang w:val="en-GB"/>
        </w:rPr>
        <w:t xml:space="preserve"> of osteoporosis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>,</w:t>
      </w:r>
      <w:r w:rsidR="000D142C">
        <w:rPr>
          <w:rFonts w:asciiTheme="majorHAnsi" w:hAnsiTheme="majorHAnsi"/>
          <w:sz w:val="20"/>
          <w:szCs w:val="20"/>
          <w:lang w:val="en-GB"/>
        </w:rPr>
        <w:t xml:space="preserve"> which</w:t>
      </w:r>
      <w:r w:rsidR="008E50B5">
        <w:rPr>
          <w:rFonts w:asciiTheme="majorHAnsi" w:hAnsiTheme="majorHAnsi"/>
          <w:sz w:val="20"/>
          <w:szCs w:val="20"/>
          <w:lang w:val="en-GB"/>
        </w:rPr>
        <w:t xml:space="preserve"> is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564F3">
        <w:rPr>
          <w:rFonts w:asciiTheme="majorHAnsi" w:hAnsiTheme="majorHAnsi"/>
          <w:sz w:val="20"/>
          <w:szCs w:val="20"/>
          <w:lang w:val="en-GB"/>
        </w:rPr>
        <w:t>identified</w:t>
      </w:r>
      <w:r w:rsidR="0004503E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564F3" w:rsidRPr="00F02FCC">
        <w:rPr>
          <w:rFonts w:asciiTheme="majorHAnsi" w:hAnsiTheme="majorHAnsi"/>
          <w:sz w:val="20"/>
          <w:szCs w:val="20"/>
          <w:lang w:val="en-GB"/>
        </w:rPr>
        <w:t xml:space="preserve">especially </w:t>
      </w:r>
      <w:r w:rsidR="0004503E">
        <w:rPr>
          <w:rFonts w:asciiTheme="majorHAnsi" w:hAnsiTheme="majorHAnsi"/>
          <w:sz w:val="20"/>
          <w:szCs w:val="20"/>
          <w:lang w:val="en-GB"/>
        </w:rPr>
        <w:t>by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 xml:space="preserve"> its most common complication</w:t>
      </w:r>
      <w:r w:rsidR="00487652">
        <w:rPr>
          <w:rFonts w:asciiTheme="majorHAnsi" w:hAnsiTheme="majorHAnsi"/>
          <w:sz w:val="20"/>
          <w:szCs w:val="20"/>
          <w:lang w:val="en-GB"/>
        </w:rPr>
        <w:t xml:space="preserve"> at this level</w:t>
      </w:r>
      <w:r w:rsidR="00CC4192" w:rsidRPr="00F02FCC">
        <w:rPr>
          <w:rFonts w:asciiTheme="majorHAnsi" w:hAnsiTheme="majorHAnsi"/>
          <w:sz w:val="20"/>
          <w:szCs w:val="20"/>
          <w:lang w:val="en-GB"/>
        </w:rPr>
        <w:t>, i.e. fractures.</w:t>
      </w:r>
    </w:p>
    <w:p w:rsidR="00CF51E0" w:rsidRPr="00F02FCC" w:rsidRDefault="00CC4192" w:rsidP="00CF51E0">
      <w:pPr>
        <w:ind w:firstLine="720"/>
        <w:jc w:val="both"/>
        <w:rPr>
          <w:rFonts w:asciiTheme="majorHAnsi" w:hAnsiTheme="majorHAnsi"/>
          <w:sz w:val="20"/>
          <w:szCs w:val="20"/>
          <w:lang w:val="en-GB"/>
        </w:rPr>
      </w:pPr>
      <w:r w:rsidRPr="00F02FCC">
        <w:rPr>
          <w:rFonts w:asciiTheme="majorHAnsi" w:hAnsiTheme="majorHAnsi"/>
          <w:sz w:val="20"/>
          <w:szCs w:val="20"/>
          <w:lang w:val="en-GB"/>
        </w:rPr>
        <w:t xml:space="preserve">The positive and negative effects of the study treatments </w:t>
      </w:r>
      <w:r w:rsidR="009865D2">
        <w:rPr>
          <w:rFonts w:asciiTheme="majorHAnsi" w:hAnsiTheme="majorHAnsi"/>
          <w:sz w:val="20"/>
          <w:szCs w:val="20"/>
          <w:lang w:val="en-GB"/>
        </w:rPr>
        <w:t>strongly depend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on the duration of the </w:t>
      </w:r>
      <w:r w:rsidR="003961D3" w:rsidRPr="00F02FCC">
        <w:rPr>
          <w:rFonts w:asciiTheme="majorHAnsi" w:hAnsiTheme="majorHAnsi"/>
          <w:sz w:val="20"/>
          <w:szCs w:val="20"/>
          <w:lang w:val="en-GB"/>
        </w:rPr>
        <w:t>treatment</w:t>
      </w:r>
      <w:r w:rsidRPr="00F02FCC">
        <w:rPr>
          <w:rFonts w:asciiTheme="majorHAnsi" w:hAnsiTheme="majorHAnsi"/>
          <w:sz w:val="20"/>
          <w:szCs w:val="20"/>
          <w:lang w:val="en-GB"/>
        </w:rPr>
        <w:t xml:space="preserve"> and the bone </w:t>
      </w:r>
      <w:proofErr w:type="gramStart"/>
      <w:r w:rsidRPr="00F02FCC">
        <w:rPr>
          <w:rFonts w:asciiTheme="majorHAnsi" w:hAnsiTheme="majorHAnsi"/>
          <w:sz w:val="20"/>
          <w:szCs w:val="20"/>
          <w:lang w:val="en-GB"/>
        </w:rPr>
        <w:t>itself,</w:t>
      </w:r>
      <w:proofErr w:type="gramEnd"/>
      <w:r w:rsidRPr="00F02FCC">
        <w:rPr>
          <w:rFonts w:asciiTheme="majorHAnsi" w:hAnsiTheme="majorHAnsi"/>
          <w:sz w:val="20"/>
          <w:szCs w:val="20"/>
          <w:lang w:val="en-GB"/>
        </w:rPr>
        <w:t xml:space="preserve"> be it healthy or affected by osteoporosis</w:t>
      </w:r>
      <w:r w:rsidR="00CF51E0" w:rsidRPr="00F02FCC">
        <w:rPr>
          <w:rFonts w:asciiTheme="majorHAnsi" w:hAnsiTheme="majorHAnsi"/>
          <w:sz w:val="20"/>
          <w:szCs w:val="20"/>
          <w:lang w:val="en-GB"/>
        </w:rPr>
        <w:t>.</w:t>
      </w:r>
    </w:p>
    <w:p w:rsidR="005D312C" w:rsidRPr="00F02FCC" w:rsidRDefault="00714A29" w:rsidP="00FD53F9">
      <w:pPr>
        <w:ind w:firstLine="540"/>
        <w:jc w:val="both"/>
        <w:rPr>
          <w:rFonts w:asciiTheme="majorHAnsi" w:hAnsiTheme="majorHAnsi"/>
          <w:b/>
          <w:sz w:val="20"/>
          <w:szCs w:val="20"/>
          <w:lang w:val="en-GB"/>
        </w:rPr>
      </w:pPr>
      <w:r w:rsidRPr="00F02FCC">
        <w:rPr>
          <w:rFonts w:asciiTheme="majorHAnsi" w:hAnsiTheme="majorHAnsi"/>
          <w:b/>
          <w:sz w:val="20"/>
          <w:szCs w:val="20"/>
          <w:lang w:val="en-GB"/>
        </w:rPr>
        <w:t xml:space="preserve">Keywords: </w:t>
      </w:r>
      <w:r w:rsidR="00FD53F9" w:rsidRPr="00F02FCC">
        <w:rPr>
          <w:rFonts w:asciiTheme="majorHAnsi" w:hAnsiTheme="majorHAnsi"/>
          <w:sz w:val="20"/>
          <w:szCs w:val="20"/>
          <w:lang w:val="en-GB"/>
        </w:rPr>
        <w:t xml:space="preserve">osteoporosis, </w:t>
      </w:r>
      <w:proofErr w:type="spellStart"/>
      <w:r w:rsidR="001604B8" w:rsidRPr="00F02FCC">
        <w:rPr>
          <w:rFonts w:asciiTheme="majorHAnsi" w:hAnsiTheme="majorHAnsi"/>
          <w:sz w:val="20"/>
          <w:szCs w:val="20"/>
          <w:lang w:val="en-GB"/>
        </w:rPr>
        <w:t>dyslipidaemia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r w:rsidR="00FD53F9" w:rsidRPr="00F02FCC">
        <w:rPr>
          <w:rFonts w:asciiTheme="majorHAnsi" w:hAnsiTheme="majorHAnsi"/>
          <w:sz w:val="20"/>
          <w:szCs w:val="20"/>
          <w:lang w:val="en-GB"/>
        </w:rPr>
        <w:t xml:space="preserve">NMR </w:t>
      </w:r>
      <w:proofErr w:type="spellStart"/>
      <w:r w:rsidR="00FD53F9" w:rsidRPr="00F02FCC">
        <w:rPr>
          <w:rFonts w:asciiTheme="majorHAnsi" w:hAnsiTheme="majorHAnsi"/>
          <w:sz w:val="20"/>
          <w:szCs w:val="20"/>
          <w:lang w:val="en-GB"/>
        </w:rPr>
        <w:t>relaxometry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statin</w:t>
      </w:r>
      <w:proofErr w:type="spellEnd"/>
      <w:r w:rsidRPr="00F02FCC">
        <w:rPr>
          <w:rFonts w:asciiTheme="majorHAnsi" w:hAnsiTheme="majorHAnsi"/>
          <w:sz w:val="20"/>
          <w:szCs w:val="20"/>
          <w:lang w:val="en-GB"/>
        </w:rPr>
        <w:t xml:space="preserve">, </w:t>
      </w:r>
      <w:proofErr w:type="spellStart"/>
      <w:r w:rsidRPr="00F02FCC">
        <w:rPr>
          <w:rFonts w:asciiTheme="majorHAnsi" w:hAnsiTheme="majorHAnsi"/>
          <w:sz w:val="20"/>
          <w:szCs w:val="20"/>
          <w:lang w:val="en-GB"/>
        </w:rPr>
        <w:t>fibrat</w:t>
      </w:r>
      <w:r w:rsidR="00FD53F9" w:rsidRPr="00F02FCC">
        <w:rPr>
          <w:rFonts w:asciiTheme="majorHAnsi" w:hAnsiTheme="majorHAnsi"/>
          <w:sz w:val="20"/>
          <w:szCs w:val="20"/>
          <w:lang w:val="en-GB"/>
        </w:rPr>
        <w:t>e</w:t>
      </w:r>
      <w:proofErr w:type="spellEnd"/>
    </w:p>
    <w:sectPr w:rsidR="005D312C" w:rsidRPr="00F02FCC" w:rsidSect="00705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compat/>
  <w:rsids>
    <w:rsidRoot w:val="005D312C"/>
    <w:rsid w:val="000006C2"/>
    <w:rsid w:val="00000D00"/>
    <w:rsid w:val="000032E9"/>
    <w:rsid w:val="00003F54"/>
    <w:rsid w:val="000120D2"/>
    <w:rsid w:val="00014E84"/>
    <w:rsid w:val="0001724D"/>
    <w:rsid w:val="00026C77"/>
    <w:rsid w:val="000375B0"/>
    <w:rsid w:val="00043C2E"/>
    <w:rsid w:val="00044A96"/>
    <w:rsid w:val="0004503E"/>
    <w:rsid w:val="000476CE"/>
    <w:rsid w:val="00047E2F"/>
    <w:rsid w:val="00051D0F"/>
    <w:rsid w:val="00055700"/>
    <w:rsid w:val="00063C1A"/>
    <w:rsid w:val="00065D75"/>
    <w:rsid w:val="000779A4"/>
    <w:rsid w:val="00092323"/>
    <w:rsid w:val="000967A5"/>
    <w:rsid w:val="000A711F"/>
    <w:rsid w:val="000B4763"/>
    <w:rsid w:val="000B5DAB"/>
    <w:rsid w:val="000B6229"/>
    <w:rsid w:val="000D142C"/>
    <w:rsid w:val="000D3DAE"/>
    <w:rsid w:val="000E3071"/>
    <w:rsid w:val="000E68AA"/>
    <w:rsid w:val="000F5B93"/>
    <w:rsid w:val="000F731E"/>
    <w:rsid w:val="00104429"/>
    <w:rsid w:val="00122335"/>
    <w:rsid w:val="00137C0A"/>
    <w:rsid w:val="0014649C"/>
    <w:rsid w:val="00152235"/>
    <w:rsid w:val="001535B4"/>
    <w:rsid w:val="00154D7F"/>
    <w:rsid w:val="001604B8"/>
    <w:rsid w:val="0016082B"/>
    <w:rsid w:val="00162079"/>
    <w:rsid w:val="001700E0"/>
    <w:rsid w:val="00170A0A"/>
    <w:rsid w:val="0017189B"/>
    <w:rsid w:val="001744BF"/>
    <w:rsid w:val="001762BF"/>
    <w:rsid w:val="001872FE"/>
    <w:rsid w:val="0019096D"/>
    <w:rsid w:val="00197DA1"/>
    <w:rsid w:val="001A2283"/>
    <w:rsid w:val="001A2945"/>
    <w:rsid w:val="001A5633"/>
    <w:rsid w:val="001A65A0"/>
    <w:rsid w:val="001B1CB6"/>
    <w:rsid w:val="001B348B"/>
    <w:rsid w:val="001C135E"/>
    <w:rsid w:val="001D2602"/>
    <w:rsid w:val="001D5413"/>
    <w:rsid w:val="001E076D"/>
    <w:rsid w:val="001E0AC8"/>
    <w:rsid w:val="00205AAA"/>
    <w:rsid w:val="00210715"/>
    <w:rsid w:val="00214657"/>
    <w:rsid w:val="00221471"/>
    <w:rsid w:val="002413A8"/>
    <w:rsid w:val="00251B55"/>
    <w:rsid w:val="00255F30"/>
    <w:rsid w:val="0026132B"/>
    <w:rsid w:val="0026186A"/>
    <w:rsid w:val="00264C4C"/>
    <w:rsid w:val="00274D53"/>
    <w:rsid w:val="00276FEA"/>
    <w:rsid w:val="002774CB"/>
    <w:rsid w:val="00291C30"/>
    <w:rsid w:val="0029737F"/>
    <w:rsid w:val="002B127A"/>
    <w:rsid w:val="002C3EB0"/>
    <w:rsid w:val="002C40E6"/>
    <w:rsid w:val="002D200F"/>
    <w:rsid w:val="002D608E"/>
    <w:rsid w:val="002E24AE"/>
    <w:rsid w:val="002E4072"/>
    <w:rsid w:val="002E40C9"/>
    <w:rsid w:val="002E53D1"/>
    <w:rsid w:val="002E76A7"/>
    <w:rsid w:val="002F2CE0"/>
    <w:rsid w:val="002F3F40"/>
    <w:rsid w:val="002F7C4D"/>
    <w:rsid w:val="00300C37"/>
    <w:rsid w:val="00305F1D"/>
    <w:rsid w:val="00306855"/>
    <w:rsid w:val="00311A64"/>
    <w:rsid w:val="00312DC2"/>
    <w:rsid w:val="00333E24"/>
    <w:rsid w:val="00340A01"/>
    <w:rsid w:val="003421EF"/>
    <w:rsid w:val="00343BAF"/>
    <w:rsid w:val="003449AB"/>
    <w:rsid w:val="003449FD"/>
    <w:rsid w:val="00347C30"/>
    <w:rsid w:val="00352051"/>
    <w:rsid w:val="00352A12"/>
    <w:rsid w:val="0035527C"/>
    <w:rsid w:val="00355AEA"/>
    <w:rsid w:val="003564F3"/>
    <w:rsid w:val="00363FD3"/>
    <w:rsid w:val="00364248"/>
    <w:rsid w:val="00372964"/>
    <w:rsid w:val="00376320"/>
    <w:rsid w:val="00377AB1"/>
    <w:rsid w:val="00380885"/>
    <w:rsid w:val="003909CD"/>
    <w:rsid w:val="003961D3"/>
    <w:rsid w:val="003A1F9F"/>
    <w:rsid w:val="003A5800"/>
    <w:rsid w:val="003A60E8"/>
    <w:rsid w:val="003B05F7"/>
    <w:rsid w:val="003B1C97"/>
    <w:rsid w:val="003B480E"/>
    <w:rsid w:val="003B61F1"/>
    <w:rsid w:val="003B6ABF"/>
    <w:rsid w:val="003C09EA"/>
    <w:rsid w:val="003C30A8"/>
    <w:rsid w:val="003D5431"/>
    <w:rsid w:val="003D5AEB"/>
    <w:rsid w:val="003E76E5"/>
    <w:rsid w:val="003E78F7"/>
    <w:rsid w:val="003F3B29"/>
    <w:rsid w:val="003F6244"/>
    <w:rsid w:val="00411726"/>
    <w:rsid w:val="004118FE"/>
    <w:rsid w:val="00414708"/>
    <w:rsid w:val="004167A6"/>
    <w:rsid w:val="00422636"/>
    <w:rsid w:val="00426325"/>
    <w:rsid w:val="004277EE"/>
    <w:rsid w:val="00430335"/>
    <w:rsid w:val="0043075F"/>
    <w:rsid w:val="00437DC5"/>
    <w:rsid w:val="00451AFC"/>
    <w:rsid w:val="00454B7B"/>
    <w:rsid w:val="00460769"/>
    <w:rsid w:val="00463220"/>
    <w:rsid w:val="0047038B"/>
    <w:rsid w:val="0047560E"/>
    <w:rsid w:val="00476DDB"/>
    <w:rsid w:val="00477A79"/>
    <w:rsid w:val="004806E0"/>
    <w:rsid w:val="004821D3"/>
    <w:rsid w:val="00482941"/>
    <w:rsid w:val="00487652"/>
    <w:rsid w:val="004A5258"/>
    <w:rsid w:val="004A5365"/>
    <w:rsid w:val="004B5930"/>
    <w:rsid w:val="004C373D"/>
    <w:rsid w:val="004C7625"/>
    <w:rsid w:val="004D7221"/>
    <w:rsid w:val="004F3085"/>
    <w:rsid w:val="004F3B2E"/>
    <w:rsid w:val="004F4609"/>
    <w:rsid w:val="004F5180"/>
    <w:rsid w:val="004F6AEF"/>
    <w:rsid w:val="00506024"/>
    <w:rsid w:val="00506149"/>
    <w:rsid w:val="00510249"/>
    <w:rsid w:val="005160C6"/>
    <w:rsid w:val="00516B04"/>
    <w:rsid w:val="00517DB0"/>
    <w:rsid w:val="00523011"/>
    <w:rsid w:val="0054173A"/>
    <w:rsid w:val="00546265"/>
    <w:rsid w:val="0054764F"/>
    <w:rsid w:val="00550CBE"/>
    <w:rsid w:val="005519D9"/>
    <w:rsid w:val="005530FF"/>
    <w:rsid w:val="00553E96"/>
    <w:rsid w:val="005551BE"/>
    <w:rsid w:val="0056129F"/>
    <w:rsid w:val="005A041F"/>
    <w:rsid w:val="005A26CD"/>
    <w:rsid w:val="005B26E0"/>
    <w:rsid w:val="005B2CA3"/>
    <w:rsid w:val="005B3360"/>
    <w:rsid w:val="005B3AAD"/>
    <w:rsid w:val="005B6CF1"/>
    <w:rsid w:val="005B6DF0"/>
    <w:rsid w:val="005B700D"/>
    <w:rsid w:val="005C35B8"/>
    <w:rsid w:val="005C60F9"/>
    <w:rsid w:val="005D1BD3"/>
    <w:rsid w:val="005D312C"/>
    <w:rsid w:val="005D7656"/>
    <w:rsid w:val="005E01FC"/>
    <w:rsid w:val="005E022C"/>
    <w:rsid w:val="005F1314"/>
    <w:rsid w:val="005F6C65"/>
    <w:rsid w:val="006021CC"/>
    <w:rsid w:val="00616597"/>
    <w:rsid w:val="00621F6E"/>
    <w:rsid w:val="00626270"/>
    <w:rsid w:val="00626FD8"/>
    <w:rsid w:val="006317FA"/>
    <w:rsid w:val="00641A61"/>
    <w:rsid w:val="00646FA0"/>
    <w:rsid w:val="006645C1"/>
    <w:rsid w:val="00672185"/>
    <w:rsid w:val="0067427A"/>
    <w:rsid w:val="0067631E"/>
    <w:rsid w:val="00681F07"/>
    <w:rsid w:val="00690196"/>
    <w:rsid w:val="0069359A"/>
    <w:rsid w:val="006B09EE"/>
    <w:rsid w:val="006B247A"/>
    <w:rsid w:val="006B578E"/>
    <w:rsid w:val="006F208F"/>
    <w:rsid w:val="006F2B5B"/>
    <w:rsid w:val="00703628"/>
    <w:rsid w:val="007053A7"/>
    <w:rsid w:val="00706FAB"/>
    <w:rsid w:val="00707222"/>
    <w:rsid w:val="007078A5"/>
    <w:rsid w:val="00707F81"/>
    <w:rsid w:val="00714A29"/>
    <w:rsid w:val="00722CE0"/>
    <w:rsid w:val="007249EE"/>
    <w:rsid w:val="00726723"/>
    <w:rsid w:val="00752408"/>
    <w:rsid w:val="00765604"/>
    <w:rsid w:val="007735A9"/>
    <w:rsid w:val="00787BA7"/>
    <w:rsid w:val="007B5D25"/>
    <w:rsid w:val="007B7949"/>
    <w:rsid w:val="007C00E9"/>
    <w:rsid w:val="007C1BC7"/>
    <w:rsid w:val="007C3110"/>
    <w:rsid w:val="007C6984"/>
    <w:rsid w:val="007D1C3A"/>
    <w:rsid w:val="007D431E"/>
    <w:rsid w:val="00805C0F"/>
    <w:rsid w:val="00805D31"/>
    <w:rsid w:val="00822023"/>
    <w:rsid w:val="00832E39"/>
    <w:rsid w:val="0083624C"/>
    <w:rsid w:val="00842F6C"/>
    <w:rsid w:val="00844F5B"/>
    <w:rsid w:val="008466E7"/>
    <w:rsid w:val="0084792C"/>
    <w:rsid w:val="00847CD8"/>
    <w:rsid w:val="008516A6"/>
    <w:rsid w:val="00861556"/>
    <w:rsid w:val="00862576"/>
    <w:rsid w:val="008642E8"/>
    <w:rsid w:val="00870B26"/>
    <w:rsid w:val="008724B9"/>
    <w:rsid w:val="0087261D"/>
    <w:rsid w:val="00876622"/>
    <w:rsid w:val="00877D57"/>
    <w:rsid w:val="00884DD5"/>
    <w:rsid w:val="00885ED3"/>
    <w:rsid w:val="008A0614"/>
    <w:rsid w:val="008A09EC"/>
    <w:rsid w:val="008B2CBE"/>
    <w:rsid w:val="008C5596"/>
    <w:rsid w:val="008E0156"/>
    <w:rsid w:val="008E50B5"/>
    <w:rsid w:val="008F5909"/>
    <w:rsid w:val="00904B2D"/>
    <w:rsid w:val="00904FA0"/>
    <w:rsid w:val="00912714"/>
    <w:rsid w:val="0092127C"/>
    <w:rsid w:val="009318E8"/>
    <w:rsid w:val="00947161"/>
    <w:rsid w:val="0094730E"/>
    <w:rsid w:val="00955DE3"/>
    <w:rsid w:val="00964DDE"/>
    <w:rsid w:val="0096691D"/>
    <w:rsid w:val="00966AE3"/>
    <w:rsid w:val="009815D1"/>
    <w:rsid w:val="009831AE"/>
    <w:rsid w:val="00983B82"/>
    <w:rsid w:val="009865D2"/>
    <w:rsid w:val="00995059"/>
    <w:rsid w:val="009967B4"/>
    <w:rsid w:val="009B384F"/>
    <w:rsid w:val="009B3A0C"/>
    <w:rsid w:val="009C0A97"/>
    <w:rsid w:val="009C18B1"/>
    <w:rsid w:val="009C2EB4"/>
    <w:rsid w:val="009C5BDA"/>
    <w:rsid w:val="009D2256"/>
    <w:rsid w:val="009E1B33"/>
    <w:rsid w:val="009E2C02"/>
    <w:rsid w:val="009E636A"/>
    <w:rsid w:val="009E66ED"/>
    <w:rsid w:val="009F68FC"/>
    <w:rsid w:val="00A03A34"/>
    <w:rsid w:val="00A10615"/>
    <w:rsid w:val="00A15BD1"/>
    <w:rsid w:val="00A21E5F"/>
    <w:rsid w:val="00A249C5"/>
    <w:rsid w:val="00A268FA"/>
    <w:rsid w:val="00A314B5"/>
    <w:rsid w:val="00A31D19"/>
    <w:rsid w:val="00A321CC"/>
    <w:rsid w:val="00A36C34"/>
    <w:rsid w:val="00A40D6B"/>
    <w:rsid w:val="00A42D03"/>
    <w:rsid w:val="00A47570"/>
    <w:rsid w:val="00A5321E"/>
    <w:rsid w:val="00A54520"/>
    <w:rsid w:val="00A6274D"/>
    <w:rsid w:val="00A67D76"/>
    <w:rsid w:val="00A67F4B"/>
    <w:rsid w:val="00A7056D"/>
    <w:rsid w:val="00A7464D"/>
    <w:rsid w:val="00A851E6"/>
    <w:rsid w:val="00A86F58"/>
    <w:rsid w:val="00A93CDA"/>
    <w:rsid w:val="00A94B5F"/>
    <w:rsid w:val="00A969CB"/>
    <w:rsid w:val="00A96FBA"/>
    <w:rsid w:val="00AB1B5E"/>
    <w:rsid w:val="00AB2FD1"/>
    <w:rsid w:val="00AB3F3E"/>
    <w:rsid w:val="00AD103D"/>
    <w:rsid w:val="00AD298A"/>
    <w:rsid w:val="00AD3673"/>
    <w:rsid w:val="00AE10BF"/>
    <w:rsid w:val="00AE3C6C"/>
    <w:rsid w:val="00AE77E9"/>
    <w:rsid w:val="00AF3BDD"/>
    <w:rsid w:val="00B23EE2"/>
    <w:rsid w:val="00B31DF5"/>
    <w:rsid w:val="00B45824"/>
    <w:rsid w:val="00B52CB5"/>
    <w:rsid w:val="00B61C9E"/>
    <w:rsid w:val="00B62FBE"/>
    <w:rsid w:val="00B86ECF"/>
    <w:rsid w:val="00B91BF5"/>
    <w:rsid w:val="00BA23A5"/>
    <w:rsid w:val="00BA3F70"/>
    <w:rsid w:val="00BB0BDC"/>
    <w:rsid w:val="00BB5E41"/>
    <w:rsid w:val="00BC34C0"/>
    <w:rsid w:val="00BC377C"/>
    <w:rsid w:val="00BC6CA4"/>
    <w:rsid w:val="00BD4F6C"/>
    <w:rsid w:val="00BE5904"/>
    <w:rsid w:val="00BE6631"/>
    <w:rsid w:val="00C01393"/>
    <w:rsid w:val="00C07C82"/>
    <w:rsid w:val="00C101C8"/>
    <w:rsid w:val="00C13990"/>
    <w:rsid w:val="00C24B96"/>
    <w:rsid w:val="00C25840"/>
    <w:rsid w:val="00C30A50"/>
    <w:rsid w:val="00C35C25"/>
    <w:rsid w:val="00C3777D"/>
    <w:rsid w:val="00C416ED"/>
    <w:rsid w:val="00C42F12"/>
    <w:rsid w:val="00C466B3"/>
    <w:rsid w:val="00C5190D"/>
    <w:rsid w:val="00C54757"/>
    <w:rsid w:val="00C570F5"/>
    <w:rsid w:val="00C618E4"/>
    <w:rsid w:val="00C65DEA"/>
    <w:rsid w:val="00C6612F"/>
    <w:rsid w:val="00C6623D"/>
    <w:rsid w:val="00C82631"/>
    <w:rsid w:val="00C83D5D"/>
    <w:rsid w:val="00C96484"/>
    <w:rsid w:val="00CA1BD8"/>
    <w:rsid w:val="00CC092B"/>
    <w:rsid w:val="00CC2E0B"/>
    <w:rsid w:val="00CC4192"/>
    <w:rsid w:val="00CD3891"/>
    <w:rsid w:val="00CD612E"/>
    <w:rsid w:val="00CE17DB"/>
    <w:rsid w:val="00CE265D"/>
    <w:rsid w:val="00CE56B8"/>
    <w:rsid w:val="00CF05C9"/>
    <w:rsid w:val="00CF51E0"/>
    <w:rsid w:val="00D02ECE"/>
    <w:rsid w:val="00D0402D"/>
    <w:rsid w:val="00D1638A"/>
    <w:rsid w:val="00D3075A"/>
    <w:rsid w:val="00D46BC9"/>
    <w:rsid w:val="00D533EE"/>
    <w:rsid w:val="00D6149F"/>
    <w:rsid w:val="00D70280"/>
    <w:rsid w:val="00D7240B"/>
    <w:rsid w:val="00D82BBD"/>
    <w:rsid w:val="00D84F9F"/>
    <w:rsid w:val="00D97D94"/>
    <w:rsid w:val="00DA3170"/>
    <w:rsid w:val="00DA4D51"/>
    <w:rsid w:val="00DA72AB"/>
    <w:rsid w:val="00DB38E2"/>
    <w:rsid w:val="00DB536D"/>
    <w:rsid w:val="00DC2809"/>
    <w:rsid w:val="00DC7EF6"/>
    <w:rsid w:val="00DD7C06"/>
    <w:rsid w:val="00DE0036"/>
    <w:rsid w:val="00DE6A88"/>
    <w:rsid w:val="00DE765C"/>
    <w:rsid w:val="00DF4FB7"/>
    <w:rsid w:val="00E0153F"/>
    <w:rsid w:val="00E03CDD"/>
    <w:rsid w:val="00E14B6C"/>
    <w:rsid w:val="00E20553"/>
    <w:rsid w:val="00E25B35"/>
    <w:rsid w:val="00E313E4"/>
    <w:rsid w:val="00E34A46"/>
    <w:rsid w:val="00E375AD"/>
    <w:rsid w:val="00E40E26"/>
    <w:rsid w:val="00E4270F"/>
    <w:rsid w:val="00E52491"/>
    <w:rsid w:val="00E54E8E"/>
    <w:rsid w:val="00E616E0"/>
    <w:rsid w:val="00E63C2A"/>
    <w:rsid w:val="00E67F63"/>
    <w:rsid w:val="00E70BE3"/>
    <w:rsid w:val="00E75D9D"/>
    <w:rsid w:val="00E81606"/>
    <w:rsid w:val="00E8626D"/>
    <w:rsid w:val="00E91C50"/>
    <w:rsid w:val="00E928F9"/>
    <w:rsid w:val="00E93F65"/>
    <w:rsid w:val="00E94193"/>
    <w:rsid w:val="00E94CF8"/>
    <w:rsid w:val="00EA4C0C"/>
    <w:rsid w:val="00EB0927"/>
    <w:rsid w:val="00EB65AE"/>
    <w:rsid w:val="00EC0AE4"/>
    <w:rsid w:val="00EC414B"/>
    <w:rsid w:val="00EE3CEE"/>
    <w:rsid w:val="00EF1088"/>
    <w:rsid w:val="00EF1587"/>
    <w:rsid w:val="00EF4A62"/>
    <w:rsid w:val="00EF57AB"/>
    <w:rsid w:val="00F02FCC"/>
    <w:rsid w:val="00F06110"/>
    <w:rsid w:val="00F10C63"/>
    <w:rsid w:val="00F1383F"/>
    <w:rsid w:val="00F141CF"/>
    <w:rsid w:val="00F14A6E"/>
    <w:rsid w:val="00F17CB3"/>
    <w:rsid w:val="00F2078D"/>
    <w:rsid w:val="00F2336F"/>
    <w:rsid w:val="00F233A8"/>
    <w:rsid w:val="00F3181B"/>
    <w:rsid w:val="00F35112"/>
    <w:rsid w:val="00F45ABD"/>
    <w:rsid w:val="00F50376"/>
    <w:rsid w:val="00F561FE"/>
    <w:rsid w:val="00F56A02"/>
    <w:rsid w:val="00F61436"/>
    <w:rsid w:val="00F65100"/>
    <w:rsid w:val="00F76131"/>
    <w:rsid w:val="00F80EC9"/>
    <w:rsid w:val="00F9418B"/>
    <w:rsid w:val="00F977E6"/>
    <w:rsid w:val="00FA1078"/>
    <w:rsid w:val="00FA32EF"/>
    <w:rsid w:val="00FA558D"/>
    <w:rsid w:val="00FA7C44"/>
    <w:rsid w:val="00FB19C5"/>
    <w:rsid w:val="00FC293F"/>
    <w:rsid w:val="00FD0B26"/>
    <w:rsid w:val="00FD2384"/>
    <w:rsid w:val="00FD2E46"/>
    <w:rsid w:val="00FD53F9"/>
    <w:rsid w:val="00FD63F8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CharCharChar">
    <w:name w:val="text Char Char Char"/>
    <w:basedOn w:val="Normal"/>
    <w:link w:val="textCharCharCharChar"/>
    <w:qFormat/>
    <w:rsid w:val="00714A29"/>
    <w:pPr>
      <w:spacing w:after="120" w:line="36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textCharCharCharChar">
    <w:name w:val="text Char Char Char Char"/>
    <w:link w:val="textCharCharChar"/>
    <w:rsid w:val="00714A29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A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D5C8D-9D4A-4B10-A6AE-4A23EE1F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Remus</dc:creator>
  <cp:lastModifiedBy>User</cp:lastModifiedBy>
  <cp:revision>2</cp:revision>
  <dcterms:created xsi:type="dcterms:W3CDTF">2015-09-11T07:43:00Z</dcterms:created>
  <dcterms:modified xsi:type="dcterms:W3CDTF">2015-09-11T07:43:00Z</dcterms:modified>
</cp:coreProperties>
</file>